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86" w:rsidRDefault="00965A8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65A86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3C05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65A86" w:rsidRDefault="003C05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65A86" w:rsidRPr="003C05D3" w:rsidRDefault="003C05D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 w:rsidRPr="003C05D3"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65A86" w:rsidRPr="003C05D3" w:rsidRDefault="003C05D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 w:rsidRPr="003C05D3"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65A86" w:rsidRDefault="003C05D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65A86" w:rsidRPr="003C05D3" w:rsidRDefault="003C05D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 w:rsidRPr="003C05D3">
              <w:rPr>
                <w:color w:val="0000FF"/>
                <w:sz w:val="16"/>
                <w:szCs w:val="16"/>
              </w:rPr>
              <w:t>РЕСПУБЛИКАЛЫҚ</w:t>
            </w:r>
          </w:p>
          <w:p w:rsidR="00965A86" w:rsidRPr="003C05D3" w:rsidRDefault="003C05D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 w:rsidRPr="003C05D3"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Pr="003C05D3" w:rsidRDefault="003C05D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3C05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65A86" w:rsidRDefault="003C05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65A86" w:rsidRDefault="003C05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65A86" w:rsidRDefault="003C05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65A86" w:rsidRDefault="003C05D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65A86" w:rsidRDefault="003C05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65A86" w:rsidRDefault="003C05D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65A86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3C05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965A86" w:rsidRDefault="003C05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65A86" w:rsidRDefault="003C05D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65A86" w:rsidRDefault="00F57C1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9" w:history="1">
              <w:r w:rsidR="003C05D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C05D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3C05D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965A86" w:rsidRDefault="003C05D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65A86" w:rsidRDefault="003C05D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65A86" w:rsidRDefault="00F57C1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1" w:history="1">
              <w:r w:rsidR="003C05D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3C05D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65A86" w:rsidRDefault="00965A8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965A86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3C05D3">
            <w:pPr>
              <w:pStyle w:val="Standard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52705</wp:posOffset>
                      </wp:positionV>
                      <wp:extent cx="2266950" cy="2127250"/>
                      <wp:effectExtent l="0" t="0" r="19050" b="2540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12725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3C05D3" w:rsidRDefault="003C05D3"/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: фигура 2" o:spid="_x0000_s1026" style="position:absolute;margin-left:9.05pt;margin-top:4.15pt;width:178.5pt;height:16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pJ0wIAADAGAAAOAAAAZHJzL2Uyb0RvYy54bWysVFFq3DAQ/S/0DkL/jddOsklMvKEkpBRK&#10;G0h6AK0srw2ypEratdOvQvvfI/QKhf4ESnuG3Rt1RrZ3nTaBUrqwlsbz/DTzZjSnZ20tyUpYV2mV&#10;0XhvQolQXOeVWmT07c3ls2NKnGcqZ1IrkdFb4ejZ7OmT08akItGllrmwBEiUSxuT0dJ7k0aR46Wo&#10;mdvTRihwFtrWzINpF1FuWQPstYySyWQaNdrmxmounIO3F52TzgJ/UQju3xSFE57IjEJsPjxteM7x&#10;Gc1OWbqwzJQV78Ng/xBFzSoFh26pLphnZGmrP6jqilvtdOH3uK4jXRQVFyEHyCae/JbNdcmMCLmA&#10;OM5sZXL/j5a/Xl1ZUuUZTShRrIYSrb+sf66/r+/C/8f6bvM5JZtPYH/bfNx8WH8lCarWGJfCx9fm&#10;yvaWgy1K0Ba2xhWSI21Q+nartGg94fAySabTk0MoCAdfEidHCRjAE+0+50vnXwgdqNjqlfNdqXLY&#10;BaHzPtwCWIpaQtVWTJKholtvPPYm8XQynLMYmFg5kPNW9eywIwxbeJ/nB6GwRjvMpuSUQMi+DxZw&#10;GMwWPhljbYCu+CPYh5nnj6KTMbd8gBvE22VgofWx6QEITe8pgaaHgKDpwwksNcxj4hg+bkmDhUB5&#10;SDns0FfrlbjRAeVRAJQbBIClK9fOL9U9HAg/xg3eYTUdW4+Ke7bBO6w9qj/z71BDZAMHl9qJLlhM&#10;NDTZNnnUbNRoSl9WUoZOkwolOdlPpkF3p2WVoxOlcHYxP5eWQMdBa4dfn8A9mLHOXzBXdrjgQhiI&#10;Wnlhu5AkNFCEl6m7Prjz7bwFJ27nOr+F+wkDFopYavuekgaGVUbduyWzghL5UsE0iA+Pj/ZPoNLB&#10;Ok4OjmDs2nuu+djFFAey0Bbd9tyDBSrDUAJpXqlrw9HGWJV+vvS6qPD+hUC7mHoDxlIQtB+hOPfG&#10;dkDtBv3sFwAAAP//AwBQSwMEFAAGAAgAAAAhAFdXOVrfAAAACAEAAA8AAABkcnMvZG93bnJldi54&#10;bWxMj0tPwzAQhO9I/Adrkbig1gnhEUKcCpCQEBWHPhDXbWySgL0OsdOGf89ygtt+mtHsTLmYnBV7&#10;M4TOk4J0noAwVHvdUaNgu3mc5SBCRNJoPRkF3ybAojo+KrHQ/kArs1/HRnAIhQIVtDH2hZShbo3D&#10;MPe9Idbe/eAwMg6N1AMeONxZeZ4kV9JhR/yhxd48tKb+XI9OQW6X/TZ9OfvKl3L1dv86Pj/dfKBS&#10;pyfT3S2IaKb4Z4bf+lwdKu608yPpICxznrKTszIQLGfXl8w7Pi6yDGRVyv8Dqh8AAAD//wMAUEsB&#10;Ai0AFAAGAAgAAAAhALaDOJL+AAAA4QEAABMAAAAAAAAAAAAAAAAAAAAAAFtDb250ZW50X1R5cGVz&#10;XS54bWxQSwECLQAUAAYACAAAACEAOP0h/9YAAACUAQAACwAAAAAAAAAAAAAAAAAvAQAAX3JlbHMv&#10;LnJlbHNQSwECLQAUAAYACAAAACEAsubqSdMCAAAwBgAADgAAAAAAAAAAAAAAAAAuAgAAZHJzL2Uy&#10;b0RvYy54bWxQSwECLQAUAAYACAAAACEAV1c5Wt8AAAAIAQAADwAAAAAAAAAAAAAAAAAtBQAAZHJz&#10;L2Rvd25yZXYueG1sUEsFBgAAAAAEAAQA8wAAADkGAAAAAA==&#10;" adj="-11796480,,5400" path="m,l21600,r,21600l,21600,,xe" filled="f" strokeweight=".25906mm">
                      <v:stroke joinstyle="miter"/>
                      <v:formulas/>
                      <v:path arrowok="t" o:connecttype="custom" o:connectlocs="1133475,0;2266950,1063625;1133475,2127250;0,1063625" o:connectangles="270,0,90,180" textboxrect="0,0,21600,21600"/>
                      <v:textbox inset="4.40942mm,2.29106mm,4.40942mm,2.29106mm">
                        <w:txbxContent>
                          <w:p w:rsidR="003C05D3" w:rsidRDefault="003C05D3"/>
                        </w:txbxContent>
                      </v:textbox>
                    </v:shape>
                  </w:pict>
                </mc:Fallback>
              </mc:AlternateContent>
            </w:r>
          </w:p>
          <w:p w:rsidR="00496AA5" w:rsidRDefault="003C05D3" w:rsidP="00496AA5">
            <w:pPr>
              <w:pStyle w:val="Standard"/>
            </w:pPr>
            <w:r>
              <w:rPr>
                <w:sz w:val="24"/>
                <w:szCs w:val="24"/>
              </w:rPr>
              <w:t xml:space="preserve">        </w:t>
            </w:r>
            <w:sdt>
              <w:sdtPr>
                <w:alias w:val="Image"/>
                <w:tag w:val="Image"/>
                <w:id w:val="-1368446292"/>
                <w:showingPlcHdr/>
                <w:picture/>
              </w:sdtPr>
              <w:sdtEndPr/>
              <w:sdtContent>
                <w:r w:rsidR="00496AA5"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9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965A86" w:rsidRDefault="003C05D3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  <w:p w:rsidR="00496AA5" w:rsidRDefault="00496AA5" w:rsidP="00496AA5">
            <w:pPr>
              <w:pStyle w:val="Standard"/>
              <w:rPr>
                <w:rFonts w:eastAsia="Arial Unicode MS" w:cs="Tahoma"/>
                <w:sz w:val="24"/>
                <w:szCs w:val="24"/>
              </w:rPr>
            </w:pPr>
          </w:p>
          <w:p w:rsidR="00965A86" w:rsidRDefault="00965A86">
            <w:pPr>
              <w:pStyle w:val="Standard"/>
              <w:rPr>
                <w:sz w:val="24"/>
                <w:szCs w:val="24"/>
              </w:rPr>
            </w:pPr>
          </w:p>
          <w:p w:rsidR="00965A86" w:rsidRDefault="00965A86">
            <w:pPr>
              <w:pStyle w:val="Standard"/>
            </w:pPr>
          </w:p>
          <w:p w:rsidR="00965A86" w:rsidRDefault="00965A86">
            <w:pPr>
              <w:pStyle w:val="Standard"/>
            </w:pPr>
          </w:p>
          <w:p w:rsidR="00965A86" w:rsidRDefault="00965A86">
            <w:pPr>
              <w:pStyle w:val="Standard"/>
            </w:pPr>
          </w:p>
          <w:p w:rsidR="00965A86" w:rsidRDefault="00965A86">
            <w:pPr>
              <w:pStyle w:val="Standard"/>
            </w:pPr>
          </w:p>
          <w:p w:rsidR="00965A86" w:rsidRDefault="00965A86">
            <w:pPr>
              <w:pStyle w:val="Standard"/>
            </w:pPr>
          </w:p>
          <w:p w:rsidR="00965A86" w:rsidRDefault="00965A86">
            <w:pPr>
              <w:pStyle w:val="Standard"/>
            </w:pPr>
          </w:p>
          <w:p w:rsidR="00965A86" w:rsidRDefault="00965A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65A86" w:rsidRDefault="00965A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65A86" w:rsidRDefault="00965A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65A86" w:rsidRDefault="00965A8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65A86" w:rsidRDefault="00965A86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3C05D3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 переписки:</w:t>
            </w:r>
          </w:p>
        </w:tc>
      </w:tr>
      <w:tr w:rsidR="00965A86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5D3" w:rsidRDefault="003C05D3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066417195"/>
              <w:placeholder>
                <w:docPart w:val="DefaultPlaceholder_-1854013440"/>
              </w:placeholder>
            </w:sdtPr>
            <w:sdtEndPr/>
            <w:sdtContent>
              <w:p w:rsidR="00965A86" w:rsidRDefault="003C05D3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A35084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</w:t>
                </w:r>
                <w:r w:rsidRPr="00A35084">
                  <w:rPr>
                    <w:sz w:val="24"/>
                    <w:szCs w:val="24"/>
                  </w:rPr>
                  <w:t>]</w:t>
                </w:r>
              </w:p>
            </w:sdtContent>
          </w:sdt>
          <w:p w:rsidR="00496AA5" w:rsidRPr="00496AA5" w:rsidRDefault="00496AA5" w:rsidP="00496AA5">
            <w:pPr>
              <w:pStyle w:val="Standard"/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1152103649"/>
              <w:placeholder>
                <w:docPart w:val="DefaultPlaceholder_-1854013440"/>
              </w:placeholder>
            </w:sdtPr>
            <w:sdtEndPr/>
            <w:sdtContent>
              <w:p w:rsidR="00965A86" w:rsidRDefault="00496AA5" w:rsidP="00496AA5">
                <w:pPr>
                  <w:pStyle w:val="Standard"/>
                  <w:snapToGrid w:val="0"/>
                  <w:ind w:hanging="36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 xml:space="preserve">      </w:t>
                </w:r>
                <w:r w:rsidR="008B3EEC">
                  <w:rPr>
                    <w:b/>
                    <w:bCs/>
                    <w:sz w:val="24"/>
                    <w:szCs w:val="24"/>
                    <w:lang w:val="en-US"/>
                  </w:rPr>
                  <w:t xml:space="preserve"> </w:t>
                </w:r>
                <w:bookmarkStart w:id="0" w:name="_GoBack"/>
                <w:bookmarkEnd w:id="0"/>
                <w:r w:rsidR="003C05D3" w:rsidRPr="00A35084">
                  <w:rPr>
                    <w:b/>
                    <w:bCs/>
                    <w:sz w:val="24"/>
                    <w:szCs w:val="24"/>
                  </w:rPr>
                  <w:t>[</w:t>
                </w:r>
                <w:r w:rsidR="003C05D3">
                  <w:rPr>
                    <w:b/>
                    <w:bCs/>
                    <w:sz w:val="24"/>
                    <w:szCs w:val="24"/>
                  </w:rPr>
                  <w:t>А</w:t>
                </w:r>
                <w:r w:rsidR="003C05D3">
                  <w:rPr>
                    <w:b/>
                    <w:bCs/>
                    <w:sz w:val="24"/>
                    <w:szCs w:val="24"/>
                    <w:lang w:val="kk-KZ"/>
                  </w:rPr>
                  <w:t>дрес для переписки</w:t>
                </w:r>
                <w:r w:rsidR="003C05D3" w:rsidRPr="00A35084">
                  <w:rPr>
                    <w:b/>
                    <w:bCs/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965A86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05D3" w:rsidRDefault="003C05D3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965A86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965A86" w:rsidRDefault="00965A86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965A86" w:rsidRDefault="00965A86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965A86" w:rsidRDefault="00965A86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965A86" w:rsidRDefault="003C05D3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965A86" w:rsidRDefault="003C05D3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"Национальный</w:t>
            </w:r>
          </w:p>
          <w:p w:rsidR="00965A86" w:rsidRDefault="003C05D3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собственности"</w:t>
            </w:r>
            <w:r w:rsidRPr="003C05D3">
              <w:rPr>
                <w:color w:val="000000"/>
                <w:sz w:val="24"/>
                <w:szCs w:val="24"/>
              </w:rPr>
              <w:tab/>
              <w:t xml:space="preserve">___________________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Оспанов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Е.К.</w:t>
            </w:r>
          </w:p>
          <w:p w:rsidR="00965A86" w:rsidRDefault="003C05D3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“____”_________</w:t>
            </w:r>
            <w:r>
              <w:rPr>
                <w:color w:val="000000"/>
                <w:sz w:val="24"/>
                <w:szCs w:val="24"/>
              </w:rPr>
              <w:t>___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-1913392537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  <w:color w:val="auto"/>
                </w:rPr>
              </w:sdtEndPr>
              <w:sdtContent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год</w:t>
                </w: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965A86" w:rsidRDefault="003C05D3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965A86" w:rsidRDefault="00965A86">
      <w:pPr>
        <w:pStyle w:val="Standard"/>
        <w:jc w:val="both"/>
        <w:rPr>
          <w:color w:val="000000"/>
          <w:sz w:val="24"/>
          <w:szCs w:val="24"/>
          <w:lang w:val="en-US"/>
        </w:rPr>
      </w:pPr>
    </w:p>
    <w:p w:rsidR="00965A86" w:rsidRDefault="00965A86">
      <w:pPr>
        <w:pStyle w:val="Standard"/>
        <w:jc w:val="both"/>
        <w:rPr>
          <w:color w:val="000000"/>
          <w:sz w:val="24"/>
          <w:szCs w:val="24"/>
          <w:lang w:val="en-US"/>
        </w:rPr>
      </w:pPr>
    </w:p>
    <w:p w:rsidR="00965A86" w:rsidRDefault="003C05D3">
      <w:pPr>
        <w:pStyle w:val="Standard"/>
        <w:jc w:val="center"/>
        <w:rPr>
          <w:b/>
          <w:bCs/>
        </w:rPr>
      </w:pPr>
      <w:r>
        <w:rPr>
          <w:b/>
          <w:bCs/>
          <w:sz w:val="28"/>
          <w:szCs w:val="28"/>
        </w:rPr>
        <w:t>ЭКСПЕРТНОЕ ЗАКЛЮЧЕНИЕ</w:t>
      </w:r>
    </w:p>
    <w:p w:rsidR="00965A86" w:rsidRDefault="003C05D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регистрации товарного знака</w:t>
      </w:r>
    </w:p>
    <w:p w:rsidR="00965A86" w:rsidRDefault="003C05D3">
      <w:pPr>
        <w:pStyle w:val="Standard"/>
        <w:jc w:val="center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(</w:t>
      </w:r>
      <w:proofErr w:type="spellStart"/>
      <w:proofErr w:type="gramStart"/>
      <w:r>
        <w:rPr>
          <w:b/>
          <w:bCs/>
          <w:sz w:val="21"/>
          <w:szCs w:val="21"/>
          <w:lang w:val="en-US"/>
        </w:rPr>
        <w:t>знака</w:t>
      </w:r>
      <w:proofErr w:type="spellEnd"/>
      <w:proofErr w:type="gramEnd"/>
      <w:r>
        <w:rPr>
          <w:b/>
          <w:bCs/>
          <w:sz w:val="21"/>
          <w:szCs w:val="21"/>
          <w:lang w:val="en-US"/>
        </w:rPr>
        <w:t xml:space="preserve"> </w:t>
      </w:r>
      <w:proofErr w:type="spellStart"/>
      <w:r>
        <w:rPr>
          <w:b/>
          <w:bCs/>
          <w:sz w:val="21"/>
          <w:szCs w:val="21"/>
          <w:lang w:val="en-US"/>
        </w:rPr>
        <w:t>обслуживания</w:t>
      </w:r>
      <w:proofErr w:type="spellEnd"/>
      <w:r>
        <w:rPr>
          <w:b/>
          <w:bCs/>
          <w:sz w:val="21"/>
          <w:szCs w:val="21"/>
          <w:lang w:val="en-US"/>
        </w:rPr>
        <w:t>)</w:t>
      </w:r>
    </w:p>
    <w:p w:rsidR="00965A86" w:rsidRDefault="00965A86">
      <w:pPr>
        <w:pStyle w:val="Standard"/>
        <w:jc w:val="center"/>
        <w:rPr>
          <w:sz w:val="28"/>
          <w:szCs w:val="28"/>
        </w:rPr>
      </w:pPr>
    </w:p>
    <w:p w:rsidR="00965A86" w:rsidRDefault="00965A86">
      <w:pPr>
        <w:pStyle w:val="Standard"/>
        <w:jc w:val="both"/>
        <w:rPr>
          <w:sz w:val="24"/>
          <w:szCs w:val="24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7056"/>
      </w:tblGrid>
      <w:tr w:rsidR="00965A86"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3C05D3">
            <w:pPr>
              <w:pStyle w:val="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771247287"/>
              <w:placeholder>
                <w:docPart w:val="DefaultPlaceholder_-1854013440"/>
              </w:placeholder>
            </w:sdtPr>
            <w:sdtEndPr/>
            <w:sdtContent>
              <w:p w:rsidR="00965A86" w:rsidRDefault="003C05D3">
                <w:pPr>
                  <w:pStyle w:val="a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965A86">
        <w:trPr>
          <w:trHeight w:val="363"/>
        </w:trPr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3C05D3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tc>
          <w:tcPr>
            <w:tcW w:w="70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1692721844"/>
              <w:placeholder>
                <w:docPart w:val="DefaultPlaceholder_-1854013440"/>
              </w:placeholder>
            </w:sdtPr>
            <w:sdtEndPr/>
            <w:sdtContent>
              <w:p w:rsidR="00965A86" w:rsidRDefault="003C05D3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  <w:lang w:val="fr-FR"/>
                  </w:rPr>
                  <w:t>Дата</w:t>
                </w:r>
                <w:proofErr w:type="spellEnd"/>
                <w:r>
                  <w:rPr>
                    <w:sz w:val="24"/>
                    <w:szCs w:val="24"/>
                    <w:lang w:val="fr-FR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proofErr w:type="spellStart"/>
                <w:r>
                  <w:rPr>
                    <w:sz w:val="24"/>
                    <w:szCs w:val="24"/>
                    <w:lang w:val="fr-FR"/>
                  </w:rPr>
                  <w:t>аявки</w:t>
                </w:r>
                <w:proofErr w:type="spellEnd"/>
                <w:r>
                  <w:rPr>
                    <w:sz w:val="24"/>
                    <w:szCs w:val="24"/>
                    <w:lang w:val="fr-FR"/>
                  </w:rPr>
                  <w:t>]</w:t>
                </w:r>
              </w:p>
            </w:sdtContent>
          </w:sdt>
        </w:tc>
      </w:tr>
      <w:tr w:rsidR="00965A86">
        <w:trPr>
          <w:trHeight w:val="363"/>
        </w:trPr>
        <w:tc>
          <w:tcPr>
            <w:tcW w:w="24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3C05D3">
            <w:pPr>
              <w:pStyle w:val="Standard"/>
              <w:shd w:val="clear" w:color="auto" w:fill="FFFFFF"/>
              <w:spacing w:line="278" w:lineRule="exact"/>
              <w:ind w:left="5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70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F57C1C">
            <w:pPr>
              <w:pStyle w:val="Standard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Priority31"/>
                <w:tag w:val="Priority31"/>
                <w:id w:val="2075086539"/>
                <w:placeholder>
                  <w:docPart w:val="DefaultPlaceholder_-1854013440"/>
                </w:placeholder>
              </w:sdtPr>
              <w:sdtEndPr/>
              <w:sdtContent>
                <w:r w:rsidR="003C05D3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3C05D3">
                  <w:rPr>
                    <w:b/>
                    <w:bCs/>
                    <w:sz w:val="24"/>
                    <w:szCs w:val="24"/>
                  </w:rPr>
                  <w:t>Приоритет 31</w:t>
                </w:r>
                <w:r w:rsidR="003C05D3"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3C05D3">
              <w:rPr>
                <w:b/>
                <w:bCs/>
                <w:sz w:val="24"/>
                <w:szCs w:val="24"/>
              </w:rPr>
              <w:t xml:space="preserve">,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Priority32"/>
                <w:tag w:val="Priority32"/>
                <w:id w:val="183172734"/>
                <w:placeholder>
                  <w:docPart w:val="DefaultPlaceholder_-1854013440"/>
                </w:placeholder>
              </w:sdtPr>
              <w:sdtEndPr/>
              <w:sdtContent>
                <w:r w:rsidR="003C05D3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3C05D3">
                  <w:rPr>
                    <w:b/>
                    <w:bCs/>
                    <w:sz w:val="24"/>
                    <w:szCs w:val="24"/>
                  </w:rPr>
                  <w:t>Приоритет 32</w:t>
                </w:r>
                <w:r w:rsidR="003C05D3"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3C05D3">
              <w:rPr>
                <w:b/>
                <w:bCs/>
                <w:sz w:val="24"/>
                <w:szCs w:val="24"/>
              </w:rPr>
              <w:t xml:space="preserve">,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Priority33"/>
                <w:tag w:val="Priority33"/>
                <w:id w:val="-1477676917"/>
                <w:placeholder>
                  <w:docPart w:val="DefaultPlaceholder_-1854013440"/>
                </w:placeholder>
              </w:sdtPr>
              <w:sdtEndPr/>
              <w:sdtContent>
                <w:r w:rsidR="003C05D3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3C05D3">
                  <w:rPr>
                    <w:b/>
                    <w:bCs/>
                    <w:sz w:val="24"/>
                    <w:szCs w:val="24"/>
                  </w:rPr>
                  <w:t>Приоритет 33</w:t>
                </w:r>
                <w:r w:rsidR="003C05D3"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</w:tbl>
    <w:p w:rsidR="00965A86" w:rsidRDefault="00965A86">
      <w:pPr>
        <w:pStyle w:val="Standard"/>
      </w:pPr>
    </w:p>
    <w:p w:rsidR="00965A86" w:rsidRDefault="003C05D3">
      <w:pPr>
        <w:pStyle w:val="Standard"/>
        <w:ind w:firstLine="873"/>
        <w:jc w:val="both"/>
        <w:rPr>
          <w:sz w:val="26"/>
          <w:szCs w:val="26"/>
        </w:rPr>
      </w:pPr>
      <w:r>
        <w:rPr>
          <w:sz w:val="26"/>
          <w:szCs w:val="26"/>
        </w:rPr>
        <w:t>Рассмотрев материалы заявки, управление экспертизы товарных знаков и наименований мест происхождения товаров РГП «НИИС» вынесло экспертное заключение о регистрации товарного знака (знака обслуживания) на имя владельца:</w:t>
      </w:r>
    </w:p>
    <w:p w:rsidR="00965A86" w:rsidRPr="003C05D3" w:rsidRDefault="00965A86">
      <w:pPr>
        <w:pStyle w:val="Standard"/>
        <w:jc w:val="both"/>
        <w:rPr>
          <w:b/>
          <w:bCs/>
          <w:sz w:val="24"/>
          <w:szCs w:val="24"/>
        </w:rPr>
      </w:pPr>
    </w:p>
    <w:tbl>
      <w:tblPr>
        <w:tblW w:w="95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080"/>
      </w:tblGrid>
      <w:tr w:rsidR="00965A86">
        <w:tc>
          <w:tcPr>
            <w:tcW w:w="2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3C05D3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(730) </w:t>
            </w:r>
            <w:r>
              <w:rPr>
                <w:b/>
                <w:bCs/>
                <w:sz w:val="24"/>
                <w:szCs w:val="24"/>
              </w:rPr>
              <w:t>Заявитель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-667548876"/>
              <w:placeholder>
                <w:docPart w:val="DefaultPlaceholder_-1854013440"/>
              </w:placeholder>
            </w:sdtPr>
            <w:sdtEndPr/>
            <w:sdtContent>
              <w:p w:rsidR="00965A86" w:rsidRDefault="003C05D3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Заявители</w:t>
                </w:r>
                <w:proofErr w:type="spellEnd"/>
                <w:r>
                  <w:rPr>
                    <w:sz w:val="24"/>
                    <w:szCs w:val="24"/>
                  </w:rPr>
                  <w:t xml:space="preserve"> и а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965A86">
        <w:tc>
          <w:tcPr>
            <w:tcW w:w="2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965A86">
            <w:pPr>
              <w:pStyle w:val="TableContents"/>
              <w:jc w:val="both"/>
            </w:pPr>
          </w:p>
        </w:tc>
        <w:tc>
          <w:tcPr>
            <w:tcW w:w="7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5A86" w:rsidRDefault="00965A86">
            <w:pPr>
              <w:pStyle w:val="Standard"/>
              <w:snapToGrid w:val="0"/>
              <w:ind w:right="97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65A86" w:rsidRDefault="003C05D3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отношении следующих товаров и/или услуг:</w:t>
      </w:r>
    </w:p>
    <w:tbl>
      <w:tblPr>
        <w:tblW w:w="9628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965A86">
        <w:tc>
          <w:tcPr>
            <w:tcW w:w="96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3C05D3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(511)(510) </w:t>
            </w: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Icgs511"/>
                <w:tag w:val="Icgs511"/>
                <w:id w:val="1006793438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color w:val="000000"/>
                    <w:sz w:val="24"/>
                    <w:szCs w:val="24"/>
                    <w:lang w:val="en-US"/>
                  </w:rPr>
                  <w:t>[Icgs511]</w:t>
                </w:r>
              </w:sdtContent>
            </w:sdt>
          </w:p>
        </w:tc>
      </w:tr>
      <w:tr w:rsidR="00965A86">
        <w:tc>
          <w:tcPr>
            <w:tcW w:w="96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965A86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965A86">
        <w:tc>
          <w:tcPr>
            <w:tcW w:w="96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965A86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65A86">
        <w:tc>
          <w:tcPr>
            <w:tcW w:w="96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A86" w:rsidRDefault="00965A86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965A86" w:rsidRDefault="00965A86">
      <w:pPr>
        <w:pStyle w:val="Standard"/>
      </w:pPr>
    </w:p>
    <w:p w:rsidR="00965A86" w:rsidRDefault="003C05D3">
      <w:pPr>
        <w:pStyle w:val="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Указание цветов:</w:t>
      </w:r>
    </w:p>
    <w:p w:rsidR="00965A86" w:rsidRDefault="00965A86">
      <w:pPr>
        <w:pStyle w:val="a"/>
        <w:rPr>
          <w:b/>
          <w:bCs/>
          <w:sz w:val="24"/>
          <w:szCs w:val="24"/>
        </w:rPr>
      </w:pPr>
    </w:p>
    <w:sdt>
      <w:sdtPr>
        <w:rPr>
          <w:b/>
          <w:bCs/>
          <w:sz w:val="24"/>
          <w:szCs w:val="24"/>
        </w:rPr>
        <w:alias w:val="Colors"/>
        <w:tag w:val="Colors"/>
        <w:id w:val="461467598"/>
        <w:placeholder>
          <w:docPart w:val="DefaultPlaceholder_-1854013440"/>
        </w:placeholder>
      </w:sdtPr>
      <w:sdtEndPr/>
      <w:sdtContent>
        <w:p w:rsidR="00965A86" w:rsidRDefault="003C05D3">
          <w:pPr>
            <w:pStyle w:val="a"/>
            <w:rPr>
              <w:b/>
              <w:bCs/>
              <w:sz w:val="24"/>
              <w:szCs w:val="24"/>
            </w:rPr>
          </w:pPr>
          <w:r w:rsidRPr="00804BAB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</w:rPr>
            <w:t>Цвета</w:t>
          </w:r>
          <w:r w:rsidRPr="00804BAB">
            <w:rPr>
              <w:b/>
              <w:bCs/>
              <w:sz w:val="24"/>
              <w:szCs w:val="24"/>
            </w:rPr>
            <w:t>]</w:t>
          </w:r>
        </w:p>
      </w:sdtContent>
    </w:sdt>
    <w:p w:rsidR="00965A86" w:rsidRDefault="00965A86">
      <w:pPr>
        <w:pStyle w:val="a"/>
        <w:rPr>
          <w:b/>
          <w:bCs/>
          <w:sz w:val="24"/>
          <w:szCs w:val="24"/>
        </w:rPr>
      </w:pPr>
    </w:p>
    <w:p w:rsidR="00965A86" w:rsidRDefault="003C05D3">
      <w:pPr>
        <w:pStyle w:val="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Графические коды:</w:t>
      </w:r>
    </w:p>
    <w:p w:rsidR="002351DA" w:rsidRPr="00804BAB" w:rsidRDefault="002351DA">
      <w:pPr>
        <w:pStyle w:val="a"/>
        <w:rPr>
          <w:b/>
          <w:bCs/>
          <w:sz w:val="24"/>
          <w:szCs w:val="24"/>
          <w:lang w:val="en-US"/>
        </w:rPr>
      </w:pPr>
    </w:p>
    <w:sdt>
      <w:sdtPr>
        <w:rPr>
          <w:b/>
          <w:bCs/>
          <w:sz w:val="24"/>
          <w:szCs w:val="24"/>
        </w:rPr>
        <w:alias w:val="Icfem"/>
        <w:tag w:val="Icfem"/>
        <w:id w:val="-791126189"/>
        <w:placeholder>
          <w:docPart w:val="DefaultPlaceholder_-1854013440"/>
        </w:placeholder>
      </w:sdtPr>
      <w:sdtEndPr/>
      <w:sdtContent>
        <w:p w:rsidR="00965A86" w:rsidRDefault="00154CA7">
          <w:pPr>
            <w:pStyle w:val="a"/>
            <w:rPr>
              <w:b/>
              <w:bCs/>
              <w:sz w:val="24"/>
              <w:szCs w:val="24"/>
            </w:rPr>
          </w:pPr>
          <w:r w:rsidRPr="00804BAB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</w:rPr>
            <w:t>Графические коды</w:t>
          </w:r>
          <w:r w:rsidRPr="00804BAB">
            <w:rPr>
              <w:b/>
              <w:bCs/>
              <w:sz w:val="24"/>
              <w:szCs w:val="24"/>
            </w:rPr>
            <w:t>]</w:t>
          </w:r>
        </w:p>
      </w:sdtContent>
    </w:sdt>
    <w:p w:rsidR="00965A86" w:rsidRDefault="00965A86">
      <w:pPr>
        <w:pStyle w:val="a"/>
        <w:rPr>
          <w:b/>
          <w:bCs/>
          <w:sz w:val="24"/>
          <w:szCs w:val="24"/>
        </w:rPr>
      </w:pPr>
    </w:p>
    <w:p w:rsidR="00965A86" w:rsidRDefault="003C05D3">
      <w:pPr>
        <w:pStyle w:val="a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Неохраноспособные</w:t>
      </w:r>
      <w:proofErr w:type="spellEnd"/>
      <w:r>
        <w:rPr>
          <w:b/>
          <w:bCs/>
          <w:sz w:val="24"/>
          <w:szCs w:val="24"/>
        </w:rPr>
        <w:t xml:space="preserve"> элементы:</w:t>
      </w:r>
    </w:p>
    <w:sdt>
      <w:sdtPr>
        <w:rPr>
          <w:b/>
          <w:bCs/>
          <w:sz w:val="24"/>
          <w:szCs w:val="24"/>
          <w:lang w:val="en-US"/>
        </w:rPr>
        <w:alias w:val="Disclaimer"/>
        <w:tag w:val="Disclaimer"/>
        <w:id w:val="2124803146"/>
        <w:placeholder>
          <w:docPart w:val="DefaultPlaceholder_-1854013440"/>
        </w:placeholder>
      </w:sdtPr>
      <w:sdtEndPr/>
      <w:sdtContent>
        <w:p w:rsidR="00965A86" w:rsidRPr="00804BAB" w:rsidRDefault="003C05D3">
          <w:pPr>
            <w:pStyle w:val="a"/>
            <w:rPr>
              <w:b/>
              <w:bCs/>
              <w:sz w:val="24"/>
              <w:szCs w:val="24"/>
            </w:rPr>
          </w:pPr>
          <w:r w:rsidRPr="00804BAB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  <w:lang w:val="en-US"/>
            </w:rPr>
            <w:t>Disclaimer</w:t>
          </w:r>
          <w:r w:rsidRPr="00804BAB">
            <w:rPr>
              <w:b/>
              <w:bCs/>
              <w:sz w:val="24"/>
              <w:szCs w:val="24"/>
            </w:rPr>
            <w:t>]</w:t>
          </w:r>
        </w:p>
      </w:sdtContent>
    </w:sdt>
    <w:p w:rsidR="00965A86" w:rsidRPr="00804BAB" w:rsidRDefault="00965A86">
      <w:pPr>
        <w:pStyle w:val="a"/>
        <w:rPr>
          <w:sz w:val="24"/>
          <w:szCs w:val="24"/>
        </w:rPr>
      </w:pPr>
    </w:p>
    <w:p w:rsidR="00965A86" w:rsidRPr="00804BAB" w:rsidRDefault="00965A86">
      <w:pPr>
        <w:pStyle w:val="Standard"/>
        <w:jc w:val="both"/>
        <w:rPr>
          <w:sz w:val="24"/>
          <w:szCs w:val="24"/>
        </w:rPr>
      </w:pPr>
    </w:p>
    <w:p w:rsidR="00965A86" w:rsidRDefault="00965A86">
      <w:pPr>
        <w:pStyle w:val="Textbody"/>
        <w:spacing w:after="0"/>
        <w:rPr>
          <w:sz w:val="24"/>
          <w:szCs w:val="24"/>
        </w:rPr>
      </w:pPr>
    </w:p>
    <w:p w:rsidR="00965A86" w:rsidRDefault="003C05D3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 бастығы</w:t>
      </w:r>
    </w:p>
    <w:p w:rsidR="00965A86" w:rsidRDefault="00965A86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965A86" w:rsidRDefault="003C05D3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Начальник управления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965A86" w:rsidRDefault="00965A86">
      <w:pPr>
        <w:pStyle w:val="Standard"/>
        <w:rPr>
          <w:b/>
          <w:bCs/>
          <w:sz w:val="24"/>
          <w:szCs w:val="24"/>
        </w:rPr>
      </w:pPr>
    </w:p>
    <w:p w:rsidR="00965A86" w:rsidRDefault="003C05D3">
      <w:pPr>
        <w:pStyle w:val="Textbody"/>
        <w:tabs>
          <w:tab w:val="left" w:pos="5646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                                                    </w:t>
      </w:r>
      <w:r w:rsidRPr="00804BAB">
        <w:rPr>
          <w:b/>
          <w:bCs/>
          <w:spacing w:val="-9"/>
          <w:sz w:val="24"/>
          <w:szCs w:val="24"/>
        </w:rPr>
        <w:t xml:space="preserve">                                            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842196705"/>
          <w:placeholder>
            <w:docPart w:val="DefaultPlaceholder_-1854013440"/>
          </w:placeholder>
        </w:sdtPr>
        <w:sdtEndPr>
          <w:rPr>
            <w:color w:val="000000"/>
          </w:rPr>
        </w:sdtEndPr>
        <w:sdtContent>
          <w:r w:rsidRPr="00804BAB">
            <w:rPr>
              <w:b/>
              <w:bCs/>
              <w:color w:val="000000"/>
              <w:spacing w:val="-9"/>
              <w:sz w:val="24"/>
              <w:szCs w:val="24"/>
            </w:rPr>
            <w:t>[Пользователь]</w:t>
          </w:r>
        </w:sdtContent>
      </w:sdt>
    </w:p>
    <w:p w:rsidR="00965A86" w:rsidRDefault="00965A86">
      <w:pPr>
        <w:pStyle w:val="Standard"/>
      </w:pPr>
    </w:p>
    <w:p w:rsidR="00965A86" w:rsidRDefault="00965A86">
      <w:pPr>
        <w:pStyle w:val="Standard"/>
      </w:pPr>
    </w:p>
    <w:p w:rsidR="00965A86" w:rsidRDefault="00965A86">
      <w:pPr>
        <w:pStyle w:val="Standard"/>
      </w:pPr>
    </w:p>
    <w:p w:rsidR="00965A86" w:rsidRDefault="00965A86">
      <w:pPr>
        <w:pStyle w:val="Standard"/>
      </w:pPr>
    </w:p>
    <w:p w:rsidR="00965A86" w:rsidRDefault="00965A86">
      <w:pPr>
        <w:pStyle w:val="Standard"/>
      </w:pPr>
    </w:p>
    <w:p w:rsidR="00965A86" w:rsidRDefault="00965A86">
      <w:pPr>
        <w:pStyle w:val="Standard"/>
        <w:ind w:right="360"/>
        <w:jc w:val="both"/>
      </w:pPr>
    </w:p>
    <w:p w:rsidR="00965A86" w:rsidRDefault="003C05D3">
      <w:pPr>
        <w:pStyle w:val="Standard"/>
        <w:ind w:right="360"/>
        <w:jc w:val="both"/>
        <w:rPr>
          <w:color w:val="000000"/>
        </w:rPr>
      </w:pPr>
      <w:r>
        <w:rPr>
          <w:color w:val="000000"/>
        </w:rPr>
        <w:t>При несогласии с заключением экспертизы заявитель вправе подать мотивированное возражение в трехмесячный срок с даты направления настоящего экспертного заключения, приложив документ об уплате. Согласно ст. 13 Закона РК &lt;О товарных знаках, знаках обслуживания...&gt; заявитель имеет право ходатайствовать о продлении установленных сроков для предоставления возражения,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 При не поступлении возражения в установленный срок - заключение экспертизы остается неизменным без дополнительного извещения заявителя.</w:t>
      </w:r>
    </w:p>
    <w:p w:rsidR="00965A86" w:rsidRDefault="00965A86">
      <w:pPr>
        <w:pStyle w:val="Standard"/>
      </w:pPr>
    </w:p>
    <w:p w:rsidR="00965A86" w:rsidRDefault="00965A86">
      <w:pPr>
        <w:pStyle w:val="Standard"/>
      </w:pPr>
    </w:p>
    <w:p w:rsidR="00965A86" w:rsidRDefault="00965A86">
      <w:pPr>
        <w:pStyle w:val="Standard"/>
      </w:pPr>
    </w:p>
    <w:p w:rsidR="00965A86" w:rsidRPr="003C05D3" w:rsidRDefault="003C05D3">
      <w:pPr>
        <w:pStyle w:val="Textbody"/>
        <w:rPr>
          <w:color w:val="000000"/>
          <w:spacing w:val="-9"/>
        </w:rPr>
      </w:pPr>
      <w:r w:rsidRPr="003C05D3">
        <w:rPr>
          <w:color w:val="000000"/>
          <w:spacing w:val="-9"/>
        </w:rPr>
        <w:t>Примечание:</w:t>
      </w:r>
    </w:p>
    <w:p w:rsidR="00965A86" w:rsidRDefault="003C05D3">
      <w:pPr>
        <w:pStyle w:val="Textbody"/>
        <w:ind w:right="36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p w:rsidR="00965A86" w:rsidRDefault="00965A86">
      <w:pPr>
        <w:pStyle w:val="Textbody"/>
        <w:ind w:right="360"/>
        <w:jc w:val="both"/>
        <w:rPr>
          <w:color w:val="000000"/>
          <w:sz w:val="24"/>
          <w:szCs w:val="24"/>
        </w:rPr>
      </w:pPr>
    </w:p>
    <w:p w:rsidR="00965A86" w:rsidRDefault="00965A86">
      <w:pPr>
        <w:pStyle w:val="Standard"/>
      </w:pPr>
    </w:p>
    <w:sectPr w:rsidR="00965A86">
      <w:footerReference w:type="default" r:id="rId14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C1C" w:rsidRDefault="00F57C1C">
      <w:r>
        <w:separator/>
      </w:r>
    </w:p>
  </w:endnote>
  <w:endnote w:type="continuationSeparator" w:id="0">
    <w:p w:rsidR="00F57C1C" w:rsidRDefault="00F5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5D3" w:rsidRDefault="003C05D3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8B3E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C1C" w:rsidRDefault="00F57C1C">
      <w:r>
        <w:rPr>
          <w:color w:val="000000"/>
        </w:rPr>
        <w:separator/>
      </w:r>
    </w:p>
  </w:footnote>
  <w:footnote w:type="continuationSeparator" w:id="0">
    <w:p w:rsidR="00F57C1C" w:rsidRDefault="00F57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D62"/>
    <w:multiLevelType w:val="multilevel"/>
    <w:tmpl w:val="528C304E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86"/>
    <w:rsid w:val="000C4373"/>
    <w:rsid w:val="00154CA7"/>
    <w:rsid w:val="00195952"/>
    <w:rsid w:val="002351DA"/>
    <w:rsid w:val="003C05D3"/>
    <w:rsid w:val="00496AA5"/>
    <w:rsid w:val="00804BAB"/>
    <w:rsid w:val="008B3EEC"/>
    <w:rsid w:val="00965A86"/>
    <w:rsid w:val="00A16F78"/>
    <w:rsid w:val="00A35084"/>
    <w:rsid w:val="00A64875"/>
    <w:rsid w:val="00A74853"/>
    <w:rsid w:val="00AA3AA6"/>
    <w:rsid w:val="00B24136"/>
    <w:rsid w:val="00B94F81"/>
    <w:rsid w:val="00EC5D6E"/>
    <w:rsid w:val="00F57C1C"/>
    <w:rsid w:val="00F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156A"/>
  <w15:docId w15:val="{5D8D4408-5F06-4367-8B42-F8B46278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">
    <w:name w:val="текст сноски"/>
    <w:basedOn w:val="Standard"/>
    <w:pPr>
      <w:widowControl/>
    </w:p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3C05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zpatent.kz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D9734-BFE7-467B-88B5-484927B00CEB}"/>
      </w:docPartPr>
      <w:docPartBody>
        <w:p w:rsidR="009355BE" w:rsidRDefault="009355BE">
          <w:r w:rsidRPr="007A4DD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BE"/>
    <w:rsid w:val="002B5502"/>
    <w:rsid w:val="00320496"/>
    <w:rsid w:val="00790775"/>
    <w:rsid w:val="009355BE"/>
    <w:rsid w:val="009B7295"/>
    <w:rsid w:val="00B9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5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4E692-1C9C-43C3-A5CC-F054D240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13</cp:revision>
  <cp:lastPrinted>2008-07-02T08:44:00Z</cp:lastPrinted>
  <dcterms:created xsi:type="dcterms:W3CDTF">2017-10-04T05:16:00Z</dcterms:created>
  <dcterms:modified xsi:type="dcterms:W3CDTF">2017-10-15T16:30:00Z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