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dffdf</w:t>
            </w:r>
          </w:p>
          <w:p>
            <w:pPr>
              <w:spacing w:lineRule="exact"/>
            </w:pPr>
            <w:r>
              <w:rPr/>
              <w:t xml:space="preserve">sf</w:t>
            </w:r>
          </w:p>
          <w:p>
            <w:pPr>
              <w:spacing w:lineRule="exact"/>
            </w:pPr>
            <w:r>
              <w:rPr/>
              <w:t xml:space="preserve">df</w:t>
            </w:r>
          </w:p>
          <w:p>
            <w:pPr>
              <w:spacing w:lineRule="exact"/>
            </w:pPr>
            <w:r>
              <w:rPr/>
              <w:t xml:space="preserve">df, dfdf, dfd</w:t>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