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Spreektekst presentatie casus 5</w:t>
      </w:r>
    </w:p>
    <w:p>
      <w:pPr>
        <w:pStyle w:val="Subtitle"/>
      </w:pPr>
      <w:r>
        <w:t>CO₂ en welvaart   Richting A   Individuele eindopdracht</w:t>
      </w:r>
    </w:p>
    <w:p>
      <w:pPr>
        <w:spacing w:after="140"/>
      </w:pPr>
      <w:r>
        <w:t>Deze spreektekst leidt je van de onderzoeksvraag naar de kaart, Nederland, de statistische onderbouwing en een concreet advies. De hoofdconclusie: 48 van de 192 vergelijkbare landen ontkoppelen territoriaal absoluut, maar de consumptiecontrole maakt het Nederlandse verhaal minder gunstig.</w:t>
      </w:r>
    </w:p>
    <w:p>
      <w:pPr>
        <w:pStyle w:val="Heading1"/>
      </w:pPr>
      <w:r>
        <w:t>Zo gebruik je dit document</w:t>
      </w:r>
    </w:p>
    <w:p>
      <w:pPr>
        <w:spacing w:after="140"/>
      </w:pPr>
      <w:r>
        <w:t>Lees bij het oefenen alleen de gewone alinea's onder de genummerde onderdelen hardop. Tijd en Laat zien zijn bedieningsaanwijzingen en lees je niet voor. De presentatie is individueel en duurt maximaal acht minuten. De route eindigt op 7:45, met vijftien seconden reserve. Oefen hardop met een timer; je eigen spreektempo en het klikken bepalen de werkelijke duur.</w:t>
      </w:r>
    </w:p>
    <w:p>
      <w:pPr>
        <w:pStyle w:val="Heading1"/>
      </w:pPr>
      <w:r>
        <w:t>Vooraf klaarzetten</w:t>
      </w:r>
    </w:p>
    <w:p>
      <w:pPr>
        <w:spacing w:after="140"/>
      </w:pPr>
      <w:r>
        <w:t>Start de lokale app en bezoek de drie tabs één keer. Zet Vergelijkingsperiode op 2000–2023, Regio op Alle regio's, Landen leeg en Alleen landen met bbp-groei uit. Kies bij Land en onderbouwing het land Netherlands. Begin daarna bij Wereldbeeld bovenaan. Houd app.py open voor de overhoring en zet AI-assistenten uit. Alle analyse en filters staan in app.py; teksten.py bevat de vaste schermteksten en opmaak.</w:t>
      </w:r>
    </w:p>
    <w:p>
      <w:pPr>
        <w:pStyle w:val="Heading1"/>
      </w:pPr>
      <w:r>
        <w:t>Route door het dashboard</w:t>
      </w:r>
    </w:p>
    <w:tbl>
      <w:tblPr>
        <w:tblW w:type="auto" w:w="0"/>
        <w:tblLayout w:type="fixed"/>
        <w:tblLook w:firstColumn="1" w:firstRow="1" w:lastColumn="0" w:lastRow="0" w:noHBand="0" w:noVBand="1" w:val="04A0"/>
      </w:tblPr>
      <w:tblGrid>
        <w:gridCol w:w="3213"/>
        <w:gridCol w:w="3213"/>
        <w:gridCol w:w="3213"/>
      </w:tblGrid>
      <w:tr>
        <w:tc>
          <w:tcPr>
            <w:tcW w:type="dxa" w:w="1417"/>
            <w:shd w:fill="EDEFF1"/>
          </w:tcPr>
          <w:p>
            <w:r>
              <w:rPr>
                <w:b/>
              </w:rPr>
              <w:t>Tijd</w:t>
            </w:r>
          </w:p>
        </w:tc>
        <w:tc>
          <w:tcPr>
            <w:tcW w:type="dxa" w:w="4989"/>
            <w:shd w:fill="EDEFF1"/>
          </w:tcPr>
          <w:p>
            <w:r>
              <w:rPr>
                <w:b/>
              </w:rPr>
              <w:t>Onderwerp</w:t>
            </w:r>
          </w:p>
        </w:tc>
        <w:tc>
          <w:tcPr>
            <w:tcW w:type="dxa" w:w="3231"/>
            <w:shd w:fill="EDEFF1"/>
          </w:tcPr>
          <w:p>
            <w:r>
              <w:rPr>
                <w:b/>
              </w:rPr>
              <w:t>Tabblad</w:t>
            </w:r>
          </w:p>
        </w:tc>
      </w:tr>
      <w:tr>
        <w:tc>
          <w:tcPr>
            <w:tcW w:type="dxa" w:w="1417"/>
          </w:tcPr>
          <w:p>
            <w:pPr>
              <w:spacing w:after="80"/>
            </w:pPr>
            <w:r>
              <w:rPr>
                <w:sz w:val="18"/>
              </w:rPr>
              <w:t>0:00–0:40</w:t>
            </w:r>
          </w:p>
        </w:tc>
        <w:tc>
          <w:tcPr>
            <w:tcW w:type="dxa" w:w="4989"/>
          </w:tcPr>
          <w:p>
            <w:pPr>
              <w:spacing w:after="80"/>
            </w:pPr>
            <w:r>
              <w:rPr>
                <w:sz w:val="18"/>
              </w:rPr>
              <w:t>De vraag en het eerste antwoord</w:t>
            </w:r>
          </w:p>
        </w:tc>
        <w:tc>
          <w:tcPr>
            <w:tcW w:type="dxa" w:w="3231"/>
          </w:tcPr>
          <w:p>
            <w:pPr>
              <w:spacing w:after="80"/>
            </w:pPr>
            <w:r>
              <w:rPr>
                <w:sz w:val="18"/>
              </w:rPr>
              <w:t>Wereldbeeld</w:t>
            </w:r>
          </w:p>
        </w:tc>
      </w:tr>
      <w:tr>
        <w:tc>
          <w:tcPr>
            <w:tcW w:type="dxa" w:w="1417"/>
          </w:tcPr>
          <w:p>
            <w:pPr>
              <w:spacing w:after="80"/>
            </w:pPr>
            <w:r>
              <w:rPr>
                <w:sz w:val="18"/>
              </w:rPr>
              <w:t>0:40–1:35</w:t>
            </w:r>
          </w:p>
        </w:tc>
        <w:tc>
          <w:tcPr>
            <w:tcW w:type="dxa" w:w="4989"/>
          </w:tcPr>
          <w:p>
            <w:pPr>
              <w:spacing w:after="80"/>
            </w:pPr>
            <w:r>
              <w:rPr>
                <w:sz w:val="18"/>
              </w:rPr>
              <w:t>Wat ik meet en welke data ik gebruik</w:t>
            </w:r>
          </w:p>
        </w:tc>
        <w:tc>
          <w:tcPr>
            <w:tcW w:type="dxa" w:w="3231"/>
          </w:tcPr>
          <w:p>
            <w:pPr>
              <w:spacing w:after="80"/>
            </w:pPr>
            <w:r>
              <w:rPr>
                <w:sz w:val="18"/>
              </w:rPr>
              <w:t>Wereldbeeld</w:t>
            </w:r>
          </w:p>
        </w:tc>
      </w:tr>
      <w:tr>
        <w:tc>
          <w:tcPr>
            <w:tcW w:type="dxa" w:w="1417"/>
          </w:tcPr>
          <w:p>
            <w:pPr>
              <w:spacing w:after="80"/>
            </w:pPr>
            <w:r>
              <w:rPr>
                <w:sz w:val="18"/>
              </w:rPr>
              <w:t>1:35–2:25</w:t>
            </w:r>
          </w:p>
        </w:tc>
        <w:tc>
          <w:tcPr>
            <w:tcW w:type="dxa" w:w="4989"/>
          </w:tcPr>
          <w:p>
            <w:pPr>
              <w:spacing w:after="80"/>
            </w:pPr>
            <w:r>
              <w:rPr>
                <w:sz w:val="18"/>
              </w:rPr>
              <w:t>Waar absolute ontkoppeling voorkomt</w:t>
            </w:r>
          </w:p>
        </w:tc>
        <w:tc>
          <w:tcPr>
            <w:tcW w:type="dxa" w:w="3231"/>
          </w:tcPr>
          <w:p>
            <w:pPr>
              <w:spacing w:after="80"/>
            </w:pPr>
            <w:r>
              <w:rPr>
                <w:sz w:val="18"/>
              </w:rPr>
              <w:t>Wereldbeeld</w:t>
            </w:r>
          </w:p>
        </w:tc>
      </w:tr>
      <w:tr>
        <w:tc>
          <w:tcPr>
            <w:tcW w:type="dxa" w:w="1417"/>
          </w:tcPr>
          <w:p>
            <w:pPr>
              <w:spacing w:after="80"/>
            </w:pPr>
            <w:r>
              <w:rPr>
                <w:sz w:val="18"/>
              </w:rPr>
              <w:t>2:25–3:10</w:t>
            </w:r>
          </w:p>
        </w:tc>
        <w:tc>
          <w:tcPr>
            <w:tcW w:type="dxa" w:w="4989"/>
          </w:tcPr>
          <w:p>
            <w:pPr>
              <w:spacing w:after="80"/>
            </w:pPr>
            <w:r>
              <w:rPr>
                <w:sz w:val="18"/>
              </w:rPr>
              <w:t>Waarom minder per dollar niet genoeg is</w:t>
            </w:r>
          </w:p>
        </w:tc>
        <w:tc>
          <w:tcPr>
            <w:tcW w:type="dxa" w:w="3231"/>
          </w:tcPr>
          <w:p>
            <w:pPr>
              <w:spacing w:after="80"/>
            </w:pPr>
            <w:r>
              <w:rPr>
                <w:sz w:val="18"/>
              </w:rPr>
              <w:t>Wereldbeeld</w:t>
            </w:r>
          </w:p>
        </w:tc>
      </w:tr>
      <w:tr>
        <w:tc>
          <w:tcPr>
            <w:tcW w:type="dxa" w:w="1417"/>
          </w:tcPr>
          <w:p>
            <w:pPr>
              <w:spacing w:after="80"/>
            </w:pPr>
            <w:r>
              <w:rPr>
                <w:sz w:val="18"/>
              </w:rPr>
              <w:t>3:10–4:15</w:t>
            </w:r>
          </w:p>
        </w:tc>
        <w:tc>
          <w:tcPr>
            <w:tcW w:type="dxa" w:w="4989"/>
          </w:tcPr>
          <w:p>
            <w:pPr>
              <w:spacing w:after="80"/>
            </w:pPr>
            <w:r>
              <w:rPr>
                <w:sz w:val="18"/>
              </w:rPr>
              <w:t>Nederland van twee meetpunten naar een tijdlijn</w:t>
            </w:r>
          </w:p>
        </w:tc>
        <w:tc>
          <w:tcPr>
            <w:tcW w:type="dxa" w:w="3231"/>
          </w:tcPr>
          <w:p>
            <w:pPr>
              <w:spacing w:after="80"/>
            </w:pPr>
            <w:r>
              <w:rPr>
                <w:sz w:val="18"/>
              </w:rPr>
              <w:t>Land en onderbouwing</w:t>
            </w:r>
          </w:p>
        </w:tc>
      </w:tr>
      <w:tr>
        <w:tc>
          <w:tcPr>
            <w:tcW w:type="dxa" w:w="1417"/>
          </w:tcPr>
          <w:p>
            <w:pPr>
              <w:spacing w:after="80"/>
            </w:pPr>
            <w:r>
              <w:rPr>
                <w:sz w:val="18"/>
              </w:rPr>
              <w:t>4:15–5:00</w:t>
            </w:r>
          </w:p>
        </w:tc>
        <w:tc>
          <w:tcPr>
            <w:tcW w:type="dxa" w:w="4989"/>
          </w:tcPr>
          <w:p>
            <w:pPr>
              <w:spacing w:after="80"/>
            </w:pPr>
            <w:r>
              <w:rPr>
                <w:sz w:val="18"/>
              </w:rPr>
              <w:t>De controle die het Nederlandse oordeel verandert</w:t>
            </w:r>
          </w:p>
        </w:tc>
        <w:tc>
          <w:tcPr>
            <w:tcW w:type="dxa" w:w="3231"/>
          </w:tcPr>
          <w:p>
            <w:pPr>
              <w:spacing w:after="80"/>
            </w:pPr>
            <w:r>
              <w:rPr>
                <w:sz w:val="18"/>
              </w:rPr>
              <w:t>Land en onderbouwing</w:t>
            </w:r>
          </w:p>
        </w:tc>
      </w:tr>
      <w:tr>
        <w:tc>
          <w:tcPr>
            <w:tcW w:type="dxa" w:w="1417"/>
          </w:tcPr>
          <w:p>
            <w:pPr>
              <w:spacing w:after="80"/>
            </w:pPr>
            <w:r>
              <w:rPr>
                <w:sz w:val="18"/>
              </w:rPr>
              <w:t>5:00–6:30</w:t>
            </w:r>
          </w:p>
        </w:tc>
        <w:tc>
          <w:tcPr>
            <w:tcW w:type="dxa" w:w="4989"/>
          </w:tcPr>
          <w:p>
            <w:pPr>
              <w:spacing w:after="80"/>
            </w:pPr>
            <w:r>
              <w:rPr>
                <w:sz w:val="18"/>
              </w:rPr>
              <w:t>Het verband statistisch onderbouwen</w:t>
            </w:r>
          </w:p>
        </w:tc>
        <w:tc>
          <w:tcPr>
            <w:tcW w:type="dxa" w:w="3231"/>
          </w:tcPr>
          <w:p>
            <w:pPr>
              <w:spacing w:after="80"/>
            </w:pPr>
            <w:r>
              <w:rPr>
                <w:sz w:val="18"/>
              </w:rPr>
              <w:t>Land en onderbouwing</w:t>
            </w:r>
          </w:p>
        </w:tc>
      </w:tr>
      <w:tr>
        <w:tc>
          <w:tcPr>
            <w:tcW w:type="dxa" w:w="1417"/>
          </w:tcPr>
          <w:p>
            <w:pPr>
              <w:spacing w:after="80"/>
            </w:pPr>
            <w:r>
              <w:rPr>
                <w:sz w:val="18"/>
              </w:rPr>
              <w:t>6:30–7:45</w:t>
            </w:r>
          </w:p>
        </w:tc>
        <w:tc>
          <w:tcPr>
            <w:tcW w:type="dxa" w:w="4989"/>
          </w:tcPr>
          <w:p>
            <w:pPr>
              <w:spacing w:after="80"/>
            </w:pPr>
            <w:r>
              <w:rPr>
                <w:sz w:val="18"/>
              </w:rPr>
              <w:t>Mijn oordeel en advies</w:t>
            </w:r>
          </w:p>
        </w:tc>
        <w:tc>
          <w:tcPr>
            <w:tcW w:type="dxa" w:w="3231"/>
          </w:tcPr>
          <w:p>
            <w:pPr>
              <w:spacing w:after="80"/>
            </w:pPr>
            <w:r>
              <w:rPr>
                <w:sz w:val="18"/>
              </w:rPr>
              <w:t>Wereldbeeld</w:t>
            </w:r>
          </w:p>
        </w:tc>
      </w:tr>
    </w:tbl>
    <w:p>
      <w:pPr>
        <w:spacing w:after="140"/>
      </w:pPr>
      <w:r>
        <w:t>De naslag na de spreektekst hoort niet bij de acht minuten. Die helpt je bij het oefenen en bij de code-overhoring. De vaste cijfers zijn gecontroleerd op de lokale snapshot van 28 oktober 2026; na andere filters of een nieuwe download moet je ze opnieuw controleren.</w:t>
      </w:r>
    </w:p>
    <w:p>
      <w:r>
        <w:br w:type="page"/>
      </w:r>
    </w:p>
    <w:p>
      <w:pPr>
        <w:pStyle w:val="Heading1"/>
      </w:pPr>
      <w:r>
        <w:t>1 De vraag en het eerste antwoord</w:t>
      </w:r>
    </w:p>
    <w:p>
      <w:pPr>
        <w:spacing w:after="100"/>
      </w:pPr>
      <w:r>
        <w:rPr>
          <w:b/>
          <w:sz w:val="20"/>
        </w:rPr>
        <w:t xml:space="preserve">Tijd  </w:t>
      </w:r>
      <w:r>
        <w:rPr>
          <w:i/>
          <w:sz w:val="20"/>
        </w:rPr>
        <w:t>0:00–0:40</w:t>
      </w:r>
    </w:p>
    <w:p>
      <w:pPr>
        <w:spacing w:after="100"/>
      </w:pPr>
      <w:r>
        <w:rPr>
          <w:b/>
          <w:sz w:val="20"/>
        </w:rPr>
        <w:t xml:space="preserve">Laat zien  </w:t>
      </w:r>
      <w:r>
        <w:rPr>
          <w:i/>
          <w:sz w:val="20"/>
        </w:rPr>
        <w:t>Begin bovenaan bij Wereldbeeld. Wijs de aantallen 192, 48 en 81 aan. Alle regio's, geen landen geselecteerd, groeifilter uit; periode 2000–2023.</w:t>
      </w:r>
    </w:p>
    <w:p>
      <w:pPr>
        <w:spacing w:after="140"/>
      </w:pPr>
      <w:r>
        <w:t>Kan een economie groeien terwijl de CO₂-uitstoot daalt? Mijn onderzoek laat zien dat dit kan, maar dat een schonere economie niet automatisch minder uitstoot betekent. Van de 192 landen die ik tussen 2000 en 2023 kan vergelijken, combineren 48 landen economische groei met minder totale uitstoot. Bij 81 landen daalt alleen de uitstoot per eenheid economie. Mijn hoofdvraag is daarom: wie ontkoppelt echt, en welke maat geeft het eerlijkste beeld?</w:t>
      </w:r>
    </w:p>
    <w:p>
      <w:pPr>
        <w:pStyle w:val="Heading1"/>
      </w:pPr>
      <w:r>
        <w:t>2 Wat ik meet en welke data ik gebruik</w:t>
      </w:r>
    </w:p>
    <w:p>
      <w:pPr>
        <w:spacing w:after="100"/>
      </w:pPr>
      <w:r>
        <w:rPr>
          <w:b/>
          <w:sz w:val="20"/>
        </w:rPr>
        <w:t xml:space="preserve">Tijd  </w:t>
      </w:r>
      <w:r>
        <w:rPr>
          <w:i/>
          <w:sz w:val="20"/>
        </w:rPr>
        <w:t>0:40–1:35</w:t>
      </w:r>
    </w:p>
    <w:p>
      <w:pPr>
        <w:spacing w:after="100"/>
      </w:pPr>
      <w:r>
        <w:rPr>
          <w:b/>
          <w:sz w:val="20"/>
        </w:rPr>
        <w:t xml:space="preserve">Laat zien  </w:t>
      </w:r>
      <w:r>
        <w:rPr>
          <w:i/>
          <w:sz w:val="20"/>
        </w:rPr>
        <w:t>Blijf bovenaan. Wijs bij het uitleggen de groene en oranje categorie aan. Voor bronvragen na de presentatie staat de uitleg bij Data en methode.</w:t>
      </w:r>
    </w:p>
    <w:p>
      <w:pPr>
        <w:spacing w:after="140"/>
      </w:pPr>
      <w:r>
        <w:t>Met absolute ontkoppeling bedoel ik dat de economie groeit en de totale CO₂-uitstoot daalt. Bij alleen relatieve ontkoppeling daalt de uitstoot per eenheid bbp, maar de totale uitstoot niet. Bbp is de totale economische productie van een land. Ik gebruik uitstootcijfers van Our World in Data en bbp-cijfers van de Wereldbank, gecorrigeerd voor inflatie.</w:t>
      </w:r>
    </w:p>
    <w:p>
      <w:pPr>
        <w:spacing w:after="140"/>
      </w:pPr>
      <w:r>
        <w:t>Ik heb de bronnen met Python opgehaald en gekoppeld op landcode én jaar. Landnamen kunnen verschillend geschreven zijn; een landcode is betrouwbaarder. Ontbrekende cijfers vul ik niet met nul. Daardoor vallen voor deze vergelijking 25 landen af. Ik toon dus de landen die ik verantwoord kan vergelijken, geen volledig beeld van ieder land.</w:t>
      </w:r>
    </w:p>
    <w:p>
      <w:pPr>
        <w:pStyle w:val="Heading1"/>
      </w:pPr>
      <w:r>
        <w:t>3 Waar absolute ontkoppeling voorkomt</w:t>
      </w:r>
    </w:p>
    <w:p>
      <w:pPr>
        <w:spacing w:after="100"/>
      </w:pPr>
      <w:r>
        <w:rPr>
          <w:b/>
          <w:sz w:val="20"/>
        </w:rPr>
        <w:t xml:space="preserve">Tijd  </w:t>
      </w:r>
      <w:r>
        <w:rPr>
          <w:i/>
          <w:sz w:val="20"/>
        </w:rPr>
        <w:t>1:35–2:25</w:t>
      </w:r>
    </w:p>
    <w:p>
      <w:pPr>
        <w:spacing w:after="100"/>
      </w:pPr>
      <w:r>
        <w:rPr>
          <w:b/>
          <w:sz w:val="20"/>
        </w:rPr>
        <w:t xml:space="preserve">Laat zien  </w:t>
      </w:r>
      <w:r>
        <w:rPr>
          <w:i/>
          <w:sz w:val="20"/>
        </w:rPr>
        <w:t>Scroll naar de kaart. Wijs Europa aan. Kies bij Regio kort Europe &amp; Central Asia. Er zijn dan 50 landen, waarvan 32 Absoluut. Herstel daarna Alle regio's voordat je verdergaat.</w:t>
      </w:r>
    </w:p>
    <w:p>
      <w:pPr>
        <w:spacing w:after="140"/>
      </w:pPr>
      <w:r>
        <w:t>De kaart laat zien dat absolute ontkoppeling ruimtelijk samenkomt in veel Europese landen. Groen betekent absolute ontkoppeling en oranje alleen relatieve. Rood betekent geen ontkoppeling bij economische groei; donkergrijs betekent geen bbp-groei.</w:t>
      </w:r>
    </w:p>
    <w:p>
      <w:pPr>
        <w:spacing w:after="140"/>
      </w:pPr>
      <w:r>
        <w:t>Ik filter kort op Europa en Centraal-Azië. Binnen deze Wereldbankregio ontkoppelen 32 van de 50 vergelijkbare landen absoluut. Het wereldwijde gemiddelde vertelt dus niet het hele regionale verhaal. Lichtgrijs betekent geen geldige vergelijking of buiten de selectie. Kleine landen ontbreken soms op deze grove kaart, maar tellen wel mee in de tabellen. Ik herstel nu alle regio's.</w:t>
      </w:r>
    </w:p>
    <w:p>
      <w:r>
        <w:br w:type="page"/>
      </w:r>
    </w:p>
    <w:p>
      <w:pPr>
        <w:pStyle w:val="Heading1"/>
      </w:pPr>
      <w:r>
        <w:t>4 Waarom minder per dollar niet genoeg is</w:t>
      </w:r>
    </w:p>
    <w:p>
      <w:pPr>
        <w:spacing w:after="100"/>
      </w:pPr>
      <w:r>
        <w:rPr>
          <w:b/>
          <w:sz w:val="20"/>
        </w:rPr>
        <w:t xml:space="preserve">Tijd  </w:t>
      </w:r>
      <w:r>
        <w:rPr>
          <w:i/>
          <w:sz w:val="20"/>
        </w:rPr>
        <w:t>2:25–3:10</w:t>
      </w:r>
    </w:p>
    <w:p>
      <w:pPr>
        <w:spacing w:after="100"/>
      </w:pPr>
      <w:r>
        <w:rPr>
          <w:b/>
          <w:sz w:val="20"/>
        </w:rPr>
        <w:t xml:space="preserve">Laat zien  </w:t>
      </w:r>
      <w:r>
        <w:rPr>
          <w:i/>
          <w:sz w:val="20"/>
        </w:rPr>
        <w:t>Scroll naar Groei is nog geen daling van uitstoot. Wijs beide nulassen en de stippellijn aan. Zoek zo mogelijk China via hover; besteed geen tijd aan zoeken als het punt lastig te raken is.</w:t>
      </w:r>
    </w:p>
    <w:p>
      <w:pPr>
        <w:spacing w:after="140"/>
      </w:pPr>
      <w:r>
        <w:t>In deze puntenwolk is ieder punt één land. Horizontaal staat de bbp-verandering en verticaal de verandering in totale uitstoot. Rechts onder de horizontale nullijn groeit de economie terwijl de uitstoot daalt. Dat is absolute ontkoppeling.</w:t>
      </w:r>
    </w:p>
    <w:p>
      <w:pPr>
        <w:spacing w:after="140"/>
      </w:pPr>
      <w:r>
        <w:t>China laat zien waarom de andere maat alleen niet genoeg is. De uitstoot per eenheid bbp daalt daar ongeveer 46 procent, maar de totale uitstoot stijgt ongeveer 234 procent. China produceert dus schoner per economische eenheid, terwijl er in totaal veel meer CO₂ vrijkomt. Dat is alleen relatieve ontkoppeling.</w:t>
      </w:r>
    </w:p>
    <w:p>
      <w:pPr>
        <w:pStyle w:val="Heading1"/>
      </w:pPr>
      <w:r>
        <w:t>5 Nederland van twee meetpunten naar een tijdlijn</w:t>
      </w:r>
    </w:p>
    <w:p>
      <w:pPr>
        <w:spacing w:after="100"/>
      </w:pPr>
      <w:r>
        <w:rPr>
          <w:b/>
          <w:sz w:val="20"/>
        </w:rPr>
        <w:t xml:space="preserve">Tijd  </w:t>
      </w:r>
      <w:r>
        <w:rPr>
          <w:i/>
          <w:sz w:val="20"/>
        </w:rPr>
        <w:t>3:10–4:15</w:t>
      </w:r>
    </w:p>
    <w:p>
      <w:pPr>
        <w:spacing w:after="100"/>
      </w:pPr>
      <w:r>
        <w:rPr>
          <w:b/>
          <w:sz w:val="20"/>
        </w:rPr>
        <w:t xml:space="preserve">Laat zien  </w:t>
      </w:r>
      <w:r>
        <w:rPr>
          <w:i/>
          <w:sz w:val="20"/>
        </w:rPr>
        <w:t>Scroll terug naar de tabbladen. Klik Land en onderbouwing. Laat Bekijk een land op Netherlands staan. Wijs eerst de drie percentages aan en daarna de lijnen bij de index 100.</w:t>
      </w:r>
    </w:p>
    <w:p>
      <w:pPr>
        <w:spacing w:after="140"/>
      </w:pPr>
      <w:r>
        <w:t>Nederland lijkt op basis van territoriale uitstoot een duidelijk voorbeeld van absolute ontkoppeling. Het reële bbp groeit ongeveer 40,7 procent. Tegelijk daalt de totale CO₂-uitstoot met 32 procent en de uitstoot per eenheid bbp met 51,7 procent.</w:t>
      </w:r>
    </w:p>
    <w:p>
      <w:pPr>
        <w:spacing w:after="140"/>
      </w:pPr>
      <w:r>
        <w:t>De tijdlijn helpt om verder te kijken dan twee meetpunten. Alle reeksen beginnen op honderd in 2000. Daardoor kan ik de ontwikkeling vergelijken, ondanks de verschillende oorspronkelijke eenheden. Blauw is het bbp, rood de totale uitstoot en groen de uitstoot per eenheid bbp. Een lager eindpunt betekent niet dat de uitstoot ieder tussenliggend jaar is gedaald. Daarom laat ik het hele verloop zien en noem ik dit een verandering over de gekozen periode.</w:t>
      </w:r>
    </w:p>
    <w:p>
      <w:pPr>
        <w:pStyle w:val="Heading1"/>
      </w:pPr>
      <w:r>
        <w:t>6 De controle die het Nederlandse oordeel verandert</w:t>
      </w:r>
    </w:p>
    <w:p>
      <w:pPr>
        <w:spacing w:after="100"/>
      </w:pPr>
      <w:r>
        <w:rPr>
          <w:b/>
          <w:sz w:val="20"/>
        </w:rPr>
        <w:t xml:space="preserve">Tijd  </w:t>
      </w:r>
      <w:r>
        <w:rPr>
          <w:i/>
          <w:sz w:val="20"/>
        </w:rPr>
        <w:t>4:15–5:00</w:t>
      </w:r>
    </w:p>
    <w:p>
      <w:pPr>
        <w:spacing w:after="100"/>
      </w:pPr>
      <w:r>
        <w:rPr>
          <w:b/>
          <w:sz w:val="20"/>
        </w:rPr>
        <w:t xml:space="preserve">Laat zien  </w:t>
      </w:r>
      <w:r>
        <w:rPr>
          <w:i/>
          <w:sz w:val="20"/>
        </w:rPr>
        <w:t>Wijs onder de Nederlandse tijdlijn het informatievak Controle voor handel aan. De wereldwijde selectie blijft behouden; alleen het bekeken land is Netherlands.</w:t>
      </w:r>
    </w:p>
    <w:p>
      <w:pPr>
        <w:spacing w:after="140"/>
      </w:pPr>
      <w:r>
        <w:t>Er zit een belangrijke beperking in territoriale uitstoot: die telt waar de uitstoot ontstaat. Als Nederland producten importeert, ontstaat een deel van de uitstoot in andere landen. Daarom controleer ik ook de consumptiegebaseerde uitstoot. Die rekent de uitstoot in geïmporteerde producten mee en die in exportproducten niet.</w:t>
      </w:r>
    </w:p>
    <w:p>
      <w:pPr>
        <w:spacing w:after="140"/>
      </w:pPr>
      <w:r>
        <w:t>Voor Nederland stijgt die uitstoot in deze periode ongeveer 12,4 procent. Het oordeel verandert daarmee naar alleen relatieve ontkoppeling. Dit bewijst niet dat alle Nederlandse verbetering door verplaatsing van productie komt. Het laat wel zien dat minder uitstoot binnen de landsgrenzen nog geen daling van de consumptiegebaseerde uitstoot betekent.</w:t>
      </w:r>
    </w:p>
    <w:p>
      <w:r>
        <w:br w:type="page"/>
      </w:r>
    </w:p>
    <w:p>
      <w:pPr>
        <w:pStyle w:val="Heading1"/>
      </w:pPr>
      <w:r>
        <w:t>7 Het verband statistisch onderbouwen</w:t>
      </w:r>
    </w:p>
    <w:p>
      <w:pPr>
        <w:spacing w:after="100"/>
      </w:pPr>
      <w:r>
        <w:rPr>
          <w:b/>
          <w:sz w:val="20"/>
        </w:rPr>
        <w:t xml:space="preserve">Tijd  </w:t>
      </w:r>
      <w:r>
        <w:rPr>
          <w:i/>
          <w:sz w:val="20"/>
        </w:rPr>
        <w:t>5:00–6:30</w:t>
      </w:r>
    </w:p>
    <w:p>
      <w:pPr>
        <w:spacing w:after="100"/>
      </w:pPr>
      <w:r>
        <w:rPr>
          <w:b/>
          <w:sz w:val="20"/>
        </w:rPr>
        <w:t xml:space="preserve">Laat zien  </w:t>
      </w:r>
      <w:r>
        <w:rPr>
          <w:i/>
          <w:sz w:val="20"/>
        </w:rPr>
        <w:t>Scroll naar Hoe sterk is het verband tussen groei en uitstoot. Controleer dat Landen in regressie 192 is. Wijs de helling, R², het interval en de regressielijn aan. Kies geen Nederland-filter in de zijbalk.</w:t>
      </w:r>
    </w:p>
    <w:p>
      <w:pPr>
        <w:spacing w:after="140"/>
      </w:pPr>
      <w:r>
        <w:t>De puntenwolk roept de vraag op hoe economische groei en uitstootverandering samenhangen. Ik onderbouw dat met een eenvoudige regressie over alle 192 landen. De lijn beschrijft de gemiddelde samenhang tussen beide veranderingen.</w:t>
      </w:r>
    </w:p>
    <w:p>
      <w:pPr>
        <w:spacing w:after="140"/>
      </w:pPr>
      <w:r>
        <w:t>Tien procentpunt meer bbp-groei hangt samen met ongeveer 10,3 procentpunt meer CO₂-verandering. Dat is een vergelijking tussen landen, geen voorspelling voor Nederland. Het berekende 95-procentinterval loopt van ongeveer 7,5 tot 13,1 procentpunt. De helling verschilt in dit model statistisch van nul.</w:t>
      </w:r>
    </w:p>
    <w:p>
      <w:pPr>
        <w:spacing w:after="140"/>
      </w:pPr>
      <w:r>
        <w:t>De R-kwadraat is ongeveer 0,22. De rechte lijn beschrijft daarmee ongeveer 22 procent van de verschillen in uitstootverandering tussen deze landen. Er blijft dus veel variatie over. Elk land weegt even zwaar; grote uitstoters krijgen geen extra gewicht.</w:t>
      </w:r>
    </w:p>
    <w:p>
      <w:pPr>
        <w:spacing w:after="140"/>
      </w:pPr>
      <w:r>
        <w:t>Dit bewijst geen oorzaak. Landen verschillen bijvoorbeeld in hun energiemix, industrie en handel. Bovendien kunnen uitschieters en samenhang tussen landen de uitkomst beïnvloeden. Mijn conclusie is daarom dat groei en uitstoot nog duidelijk samenhangen, terwijl landen zoals Nederland territoriaal laten zien dat absolute ontkoppeling mogelijk is.</w:t>
      </w:r>
    </w:p>
    <w:p>
      <w:pPr>
        <w:pStyle w:val="Heading1"/>
      </w:pPr>
      <w:r>
        <w:t>8 Mijn oordeel en advies</w:t>
      </w:r>
    </w:p>
    <w:p>
      <w:pPr>
        <w:spacing w:after="100"/>
      </w:pPr>
      <w:r>
        <w:rPr>
          <w:b/>
          <w:sz w:val="20"/>
        </w:rPr>
        <w:t xml:space="preserve">Tijd  </w:t>
      </w:r>
      <w:r>
        <w:rPr>
          <w:i/>
          <w:sz w:val="20"/>
        </w:rPr>
        <w:t>6:30–7:45</w:t>
      </w:r>
    </w:p>
    <w:p>
      <w:pPr>
        <w:spacing w:after="100"/>
      </w:pPr>
      <w:r>
        <w:rPr>
          <w:b/>
          <w:sz w:val="20"/>
        </w:rPr>
        <w:t xml:space="preserve">Laat zien  </w:t>
      </w:r>
      <w:r>
        <w:rPr>
          <w:i/>
          <w:sz w:val="20"/>
        </w:rPr>
        <w:t>Ga terug naar Wereldbeeld en scroll naar de kerncijfers. Laat de selectie op 2000–2023 en Alle regio's staan. Rond af; de laatste vijftien seconden zijn reserve voor klikken en pauzes.</w:t>
      </w:r>
    </w:p>
    <w:p>
      <w:pPr>
        <w:spacing w:after="140"/>
      </w:pPr>
      <w:r>
        <w:t>Mijn antwoord is dat 48 van de 192 vergelijkbare landen, precies een kwart, groei combineren met minder territoriale CO₂-uitstoot. Bij 81 landen daalt alleen de intensiteit. Dat is nuttige vooruitgang, maar nog geen daling van de totale uitstoot.</w:t>
      </w:r>
    </w:p>
    <w:p>
      <w:pPr>
        <w:spacing w:after="140"/>
      </w:pPr>
      <w:r>
        <w:t>Voor het beoordelen van klimaatvooruitgang kies ik daarom de totale uitstoot als hoofdmaat. Daarnaast toon ik de uitstoot per eenheid reëel bbp om te zien of productie schoner wordt. Waar de data het toelaten, controleer ik ook de consumptiegebaseerde uitstoot. Nederland laat zien waarom: territoriaal daalt de uitstoot 32 procent, maar consumptiegebaseerd stijgt die 12,4 procent.</w:t>
      </w:r>
    </w:p>
    <w:p>
      <w:pPr>
        <w:spacing w:after="140"/>
      </w:pPr>
      <w:r>
        <w:t>Mijn advies is om die cijfers naast elkaar te beoordelen en niet tevreden te zijn met alleen een dalende intensiteit. Absolute ontkoppeling is mogelijk, maar dit dashboard bewijst niet dat de daling overal blijvend of snel genoeg is.</w:t>
      </w:r>
    </w:p>
    <w:p>
      <w:r>
        <w:br w:type="page"/>
      </w:r>
    </w:p>
    <w:p>
      <w:pPr>
        <w:pStyle w:val="Heading1"/>
      </w:pPr>
      <w:r>
        <w:t>De begrippen in gewone taal</w:t>
      </w:r>
    </w:p>
    <w:p>
      <w:pPr>
        <w:spacing w:after="100"/>
      </w:pPr>
      <w:r>
        <w:rPr>
          <w:b/>
          <w:sz w:val="20"/>
        </w:rPr>
        <w:t xml:space="preserve">Naslag  </w:t>
      </w:r>
      <w:r>
        <w:rPr>
          <w:i/>
          <w:sz w:val="20"/>
        </w:rPr>
        <w:t>Niet voorlezen tijdens de presentatie.</w:t>
      </w:r>
    </w:p>
    <w:p>
      <w:pPr>
        <w:pStyle w:val="Heading2"/>
      </w:pPr>
      <w:r>
        <w:t>Wat is het verschil tussen absoluut en relatief</w:t>
      </w:r>
    </w:p>
    <w:p>
      <w:pPr>
        <w:spacing w:after="140"/>
      </w:pPr>
      <w:r>
        <w:t>Absoluut: bbp groeit en totale uitstoot daalt. Alleen relatief: bbp groeit, uitstoot per eenheid bbp daalt, maar totale uitstoot niet. Een land met dalend bbp krijgt een aparte categorie; minder uitstoot door economische krimp telt hier niet als absolute ontkoppeling.</w:t>
      </w:r>
    </w:p>
    <w:p>
      <w:pPr>
        <w:pStyle w:val="Heading2"/>
      </w:pPr>
      <w:r>
        <w:t>Wat betekent bbp</w:t>
      </w:r>
    </w:p>
    <w:p>
      <w:pPr>
        <w:spacing w:after="140"/>
      </w:pPr>
      <w:r>
        <w:t>Het bruto binnenlands product meet de totale economische productie. Ik gebruik de Wereldbankindicator NY.GDP.MKTP.KD in constante dollars van 2015. De correctie voor inflatie voorkomt dat alleen prijsstijgingen als economische groei worden uitgelegd. Bbp is geen volledige maat voor welzijn of een eerlijke inkomensverdeling.</w:t>
      </w:r>
    </w:p>
    <w:p>
      <w:pPr>
        <w:pStyle w:val="Heading2"/>
      </w:pPr>
      <w:r>
        <w:t>Waarom dollars terwijl de casus per euro zegt</w:t>
      </w:r>
    </w:p>
    <w:p>
      <w:pPr>
        <w:spacing w:after="140"/>
      </w:pPr>
      <w:r>
        <w:t>De Wereldbankreeks gebruikt constante dollars. Voor de procentuele verandering van intensiteit maakt een vaste omrekening naar euro's geen verschil. Ik gebruik geen jaarlijks wisselende wisselkoers en noem de maat daarom uitstoot per eenheid reëel bbp.</w:t>
      </w:r>
    </w:p>
    <w:p>
      <w:pPr>
        <w:pStyle w:val="Heading2"/>
      </w:pPr>
      <w:r>
        <w:t>Hoe reken ik de intensiteit uit</w:t>
      </w:r>
    </w:p>
    <w:p>
      <w:pPr>
        <w:spacing w:after="140"/>
      </w:pPr>
      <w:r>
        <w:t>CO₂ is opgeslagen in miljoen ton. Vermenigvuldig met een miljard om kilogram te krijgen en deel door het reële bbp. De eenheid wordt kilogram CO₂ per constante dollar. De procentuele verandering is eindwaarde gedeeld door beginwaarde, min één, maal honderd. Voor Nederland is de verhouding ongeveer 0,680 gedeeld door 1,407: de intensiteit daalt daarmee ongeveer 51,7 procent.</w:t>
      </w:r>
    </w:p>
    <w:p>
      <w:pPr>
        <w:pStyle w:val="Heading2"/>
      </w:pPr>
      <w:r>
        <w:t>Wat betekent de regressie precies</w:t>
      </w:r>
    </w:p>
    <w:p>
      <w:pPr>
        <w:spacing w:after="140"/>
      </w:pPr>
      <w:r>
        <w:t>De helling is ongeveer 1,03 procentpunt CO₂-verandering per procentpunt bbp-groei. Voor 10 procentpunt bbp-groei is dat 10,3 met een klassiek 95%-interval van 7,5 tot 13,1. R² is 0,22 en de p-waarde ongeveer 6,72 maal tien tot de macht min twaalf. Deze modeluitkomsten bewijzen geen causaliteit en geven geen 95%-zekerheid voor de voorspelling van één land.</w:t>
      </w:r>
    </w:p>
    <w:p>
      <w:pPr>
        <w:pStyle w:val="Heading2"/>
      </w:pPr>
      <w:r>
        <w:t>Waarom verandert het oordeel voor Nederland</w:t>
      </w:r>
    </w:p>
    <w:p>
      <w:pPr>
        <w:spacing w:after="140"/>
      </w:pPr>
      <w:r>
        <w:t>Territoriale en consumptiegebaseerde uitstoot rekenen emissies anders toe. De laatste corrigeert voor de uitstoot in de internationale handel. Nederland is territoriaal absoluut ontkoppeld in deze periode, maar op consumptiebasis alleen relatief. Dit verschil op zichzelf is geen bewijs van één specifieke oorzaak.</w:t>
      </w:r>
    </w:p>
    <w:p>
      <w:r>
        <w:br w:type="page"/>
      </w:r>
    </w:p>
    <w:p>
      <w:pPr>
        <w:pStyle w:val="Heading1"/>
      </w:pPr>
      <w:r>
        <w:t>Bronnen keuzes en voorbereiding</w:t>
      </w:r>
    </w:p>
    <w:p>
      <w:pPr>
        <w:spacing w:after="100"/>
      </w:pPr>
      <w:r>
        <w:rPr>
          <w:b/>
          <w:sz w:val="20"/>
        </w:rPr>
        <w:t xml:space="preserve">Naslag  </w:t>
      </w:r>
      <w:r>
        <w:rPr>
          <w:i/>
          <w:sz w:val="20"/>
        </w:rPr>
        <w:t>Niet voorlezen tijdens de presentatie.</w:t>
      </w:r>
    </w:p>
    <w:p>
      <w:pPr>
        <w:pStyle w:val="Heading2"/>
      </w:pPr>
      <w:r>
        <w:t>Waarom koppel ik op landcode en jaar</w:t>
      </w:r>
    </w:p>
    <w:p>
      <w:pPr>
        <w:spacing w:after="140"/>
      </w:pPr>
      <w:r>
        <w:t>Een ISO-code is stabieler dan de schrijfwijze van een landnaam. Het jaartal is ook nodig: alleen de landcode zou verschillende jaren aan elkaar koppelen. Met validate='one_to_one' controleert pandas dat beide tabellen maximaal één rij per land-jaarcombinatie hebben. Lege codes en regionale totalen worden eerst uitgesloten.</w:t>
      </w:r>
    </w:p>
    <w:p>
      <w:pPr>
        <w:pStyle w:val="Heading2"/>
      </w:pPr>
      <w:r>
        <w:t>Wat gebeurt er met ontbrekende cijfers</w:t>
      </w:r>
    </w:p>
    <w:p>
      <w:pPr>
        <w:spacing w:after="140"/>
      </w:pPr>
      <w:r>
        <w:t>Ik vul meetwaarden niet op. Alleen landen met geldige begin- en eindwaarden worden geclassificeerd. Beginuitstoot en beide bbp-waarden moeten positief zijn; de einduitstoot mag nul zijn. Voor 2000–2023 blijven 192 landen over en vallen 25 af. Dit kan de vergelijking selectief maken; ontbrekende landen krijgen geen oordeel.</w:t>
      </w:r>
    </w:p>
    <w:p>
      <w:pPr>
        <w:pStyle w:val="Heading2"/>
      </w:pPr>
      <w:r>
        <w:t>Waarom staan er meerdere rijenaantallen</w:t>
      </w:r>
    </w:p>
    <w:p>
      <w:pPr>
        <w:spacing w:after="140"/>
      </w:pPr>
      <w:r>
        <w:t>De bronkoppeling vóór het jaarfilter heeft 13.390 matches, 26.795 land-jaren alleen in de uitstootbron en 932 alleen in de bbp-bron. Een match kan nog een ontbrekende meetwaarde bevatten. Binnen 1960–2024 zijn 10.874 land-jaren met beide hoofdmetingen, verspreid over 202 landen. Dat is iets anders dan de 192 landen met geldige eindpunten voor de presentatie.</w:t>
      </w:r>
    </w:p>
    <w:p>
      <w:pPr>
        <w:pStyle w:val="Heading2"/>
      </w:pPr>
      <w:r>
        <w:t>Wat zegt de kaart wel en niet</w:t>
      </w:r>
    </w:p>
    <w:p>
      <w:pPr>
        <w:spacing w:after="140"/>
      </w:pPr>
      <w:r>
        <w:t>De lokale Natural Earth-kaart laat regionale clustering zien. De categorieën gaan over de gekozen begin- en eindjaren, niet over elk jaar ertussen. In de standaardselectie hebben 31 landen geen eigen vlak op deze grove kaart; ze blijven in tabel en statistiek. De categorie Geen bbp-groei is donkergrijs; de lichtgrijze achtergrond krijgt geen inhoudelijk oordeel.</w:t>
      </w:r>
    </w:p>
    <w:p>
      <w:pPr>
        <w:pStyle w:val="Heading2"/>
      </w:pPr>
      <w:r>
        <w:t>Waarom gebruik ik de periode 2000 tot 2023</w:t>
      </w:r>
    </w:p>
    <w:p>
      <w:pPr>
        <w:spacing w:after="140"/>
      </w:pPr>
      <w:r>
        <w:t>Dit is de vaste uitgangsvergelijking van mijn presentatie en de cijfers in deze spreektekst. De keuze is geen bewijs dat andere periodes hetzelfde opleveren. Met de periodefilter kan ik bijvoorbeeld 2024 kiezen om de gevoeligheid te onderzoeken. Dan moet ik alle aantallen en conclusies opnieuw van het scherm aflezen.</w:t>
      </w:r>
    </w:p>
    <w:p>
      <w:pPr>
        <w:pStyle w:val="Heading2"/>
      </w:pPr>
      <w:r>
        <w:t>Hoe bereid ik het assessment praktisch voor</w:t>
      </w:r>
    </w:p>
    <w:p>
      <w:pPr>
        <w:spacing w:after="140"/>
      </w:pPr>
      <w:r>
        <w:t>Start het dashboard lokaal vóór binnenkomst. Zet periode 2000–2023, Regio op Alle regio's, Landen leeg en de checkbox voor bbp-groei uit. Bij Land en onderbouwing kies je Netherlands. Open app.py ernaast en zet AI-assistenten uit. De app leest lokale bestanden; data_ophalen.py draai je niet tijdens het assessment. Oefen live coding met het aparte oefendocument. De tijdlijn gebruikt nu een jaartabel met een left merge, zodat ontbrekende jaren zichtbaar blijven. Het afzonderlijke bestand teksten.py bevat geen berekeningen.</w:t>
      </w:r>
    </w:p>
    <w:p>
      <w:pPr>
        <w:pStyle w:val="Heading2"/>
      </w:pPr>
      <w:r>
        <w:t>Documenten waarop deze voorbereiding is gebaseerd</w:t>
      </w:r>
    </w:p>
    <w:p>
      <w:pPr>
        <w:spacing w:after="140"/>
      </w:pPr>
      <w:r>
        <w:t>Opdrachtmap: Eindopdracht IDS 2026–2027, pagina 1–3 en 6; VA-rubric eindpresentatie, pagina 2–4; Casussen en inschrijving, casus 5 op pagina 6. De acht minuten en de scheiding tussen presentatie en live coding volgen uit de eindopdracht. De cijfers en klikroute volgen app.py en data/bronnen.zip.</w:t>
      </w:r>
    </w:p>
    <w:p>
      <w:pPr>
        <w:spacing w:after="140"/>
      </w:pPr>
      <w:r>
        <w:t>Online dashboard: https://minor-data-science-co2-welvaart.streamlit.app/</w:t>
        <w:br/>
        <w:t>Code en data: https://github.com/Hugohilbelink/Minor_data_science_eindcase_week_4</w:t>
      </w:r>
    </w:p>
    <w:sectPr w:rsidR="00FC693F" w:rsidRPr="0006063C" w:rsidSect="00034616">
      <w:footerReference w:type="default" r:id="rId9"/>
      <w:pgSz w:w="11906" w:h="16838"/>
      <w:pgMar w:top="935"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Spreektekst presentatie casus 5</dc:title>
  <dc:subject/>
  <dc:creator>Hugo Hilbelink</dc:creator>
  <cp:keywords/>
  <dc:description/>
  <cp:lastModifiedBy/>
  <cp:revision>1</cp:revision>
  <dcterms:created xsi:type="dcterms:W3CDTF">2013-12-23T23:15:00Z</dcterms:created>
  <dcterms:modified xsi:type="dcterms:W3CDTF">2013-12-23T23:15:00Z</dcterms:modified>
  <cp:category/>
</cp:coreProperties>
</file>