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AB" w:rsidRDefault="001D75A4" w:rsidP="001D75A4">
      <w:pPr>
        <w:pStyle w:val="Heading1"/>
        <w:rPr>
          <w:lang w:val="en-GB"/>
        </w:rPr>
      </w:pPr>
      <w:r w:rsidRPr="001D75A4">
        <w:rPr>
          <w:lang w:val="en-GB"/>
        </w:rPr>
        <w:t>Identify the risk strategies that the actors can adopt to tackle the problem</w:t>
      </w:r>
    </w:p>
    <w:p w:rsidR="00102283" w:rsidRDefault="00264E7F" w:rsidP="00515488">
      <w:pPr>
        <w:rPr>
          <w:lang w:val="en-GB"/>
        </w:rPr>
      </w:pPr>
      <w:r>
        <w:rPr>
          <w:lang w:val="en-GB"/>
        </w:rPr>
        <w:t xml:space="preserve">In this section the risk strategies of the actors described in the previous </w:t>
      </w:r>
      <w:r w:rsidR="00102283">
        <w:rPr>
          <w:lang w:val="en-GB"/>
        </w:rPr>
        <w:t xml:space="preserve">section </w:t>
      </w:r>
      <w:r>
        <w:rPr>
          <w:lang w:val="en-GB"/>
        </w:rPr>
        <w:t>will be discussed.</w:t>
      </w:r>
      <w:r w:rsidR="00102283">
        <w:rPr>
          <w:lang w:val="en-GB"/>
        </w:rPr>
        <w:t xml:space="preserve"> These actors are the botnet masters, the consumers, businesses, money mules and the malware programmers. T</w:t>
      </w:r>
      <w:r>
        <w:rPr>
          <w:lang w:val="en-GB"/>
        </w:rPr>
        <w:t xml:space="preserve">he sociotechnical nature of the system </w:t>
      </w:r>
      <w:r w:rsidR="00102283">
        <w:rPr>
          <w:lang w:val="en-GB"/>
        </w:rPr>
        <w:t xml:space="preserve">ensures that these actors have different and even conflicting strategies. These conflicting strategies will be pointed out and </w:t>
      </w:r>
      <w:r w:rsidR="00BD7453">
        <w:rPr>
          <w:lang w:val="en-GB"/>
        </w:rPr>
        <w:t xml:space="preserve">the change of these strategies throughout </w:t>
      </w:r>
      <w:r w:rsidR="00102283">
        <w:rPr>
          <w:lang w:val="en-GB"/>
        </w:rPr>
        <w:t xml:space="preserve">will be given. </w:t>
      </w:r>
    </w:p>
    <w:p w:rsidR="00CD7488" w:rsidRDefault="00102283" w:rsidP="00515488">
      <w:pPr>
        <w:rPr>
          <w:lang w:val="en-GB"/>
        </w:rPr>
      </w:pPr>
      <w:r>
        <w:rPr>
          <w:lang w:val="en-GB"/>
        </w:rPr>
        <w:t>The botnet masters</w:t>
      </w:r>
      <w:r w:rsidR="00E7645C">
        <w:rPr>
          <w:lang w:val="en-GB"/>
        </w:rPr>
        <w:t xml:space="preserve"> control the botnet via C&amp;C</w:t>
      </w:r>
      <w:r w:rsidR="001B77FB">
        <w:rPr>
          <w:lang w:val="en-GB"/>
        </w:rPr>
        <w:t xml:space="preserve">. It is the only way for them to </w:t>
      </w:r>
      <w:r w:rsidR="00E7645C">
        <w:rPr>
          <w:lang w:val="en-GB"/>
        </w:rPr>
        <w:t>communicate with the bot</w:t>
      </w:r>
      <w:r w:rsidR="001B77FB">
        <w:rPr>
          <w:lang w:val="en-GB"/>
        </w:rPr>
        <w:t xml:space="preserve">s. It is essential that the C&amp;C is protected because without it the botnet masters can’t </w:t>
      </w:r>
      <w:r w:rsidR="00CD7488">
        <w:rPr>
          <w:lang w:val="en-GB"/>
        </w:rPr>
        <w:t xml:space="preserve">reach their </w:t>
      </w:r>
      <w:r w:rsidR="00AE2175">
        <w:rPr>
          <w:lang w:val="en-GB"/>
        </w:rPr>
        <w:t>network</w:t>
      </w:r>
      <w:r w:rsidR="00CD7488">
        <w:rPr>
          <w:lang w:val="en-GB"/>
        </w:rPr>
        <w:t xml:space="preserve"> and thus </w:t>
      </w:r>
      <w:r w:rsidR="001B77FB">
        <w:rPr>
          <w:lang w:val="en-GB"/>
        </w:rPr>
        <w:t>make money. To reduce the risk the botnet master should use</w:t>
      </w:r>
      <w:r w:rsidR="00AE2175">
        <w:rPr>
          <w:lang w:val="en-GB"/>
        </w:rPr>
        <w:t xml:space="preserve"> a</w:t>
      </w:r>
      <w:r w:rsidR="001B77FB">
        <w:rPr>
          <w:lang w:val="en-GB"/>
        </w:rPr>
        <w:t xml:space="preserve"> way to communicate to the bots via the C&amp;C that anti-virus</w:t>
      </w:r>
      <w:r w:rsidR="00BD7453">
        <w:rPr>
          <w:lang w:val="en-GB"/>
        </w:rPr>
        <w:t>/malware software</w:t>
      </w:r>
      <w:r w:rsidR="001B77FB">
        <w:rPr>
          <w:lang w:val="en-GB"/>
        </w:rPr>
        <w:t xml:space="preserve"> will</w:t>
      </w:r>
      <w:r w:rsidR="00564307">
        <w:rPr>
          <w:lang w:val="en-GB"/>
        </w:rPr>
        <w:t xml:space="preserve"> not</w:t>
      </w:r>
      <w:r w:rsidR="001B77FB">
        <w:rPr>
          <w:lang w:val="en-GB"/>
        </w:rPr>
        <w:t xml:space="preserve"> detect</w:t>
      </w:r>
      <w:r w:rsidR="00564307">
        <w:rPr>
          <w:lang w:val="en-GB"/>
        </w:rPr>
        <w:t>.</w:t>
      </w:r>
      <w:r w:rsidR="001B77FB">
        <w:rPr>
          <w:lang w:val="en-GB"/>
        </w:rPr>
        <w:t xml:space="preserve"> </w:t>
      </w:r>
      <w:r w:rsidR="00564307">
        <w:rPr>
          <w:lang w:val="en-GB"/>
        </w:rPr>
        <w:t xml:space="preserve">One </w:t>
      </w:r>
      <w:r w:rsidR="0099239D" w:rsidRPr="0099239D">
        <w:rPr>
          <w:lang w:val="en-GB"/>
        </w:rPr>
        <w:t xml:space="preserve">popular </w:t>
      </w:r>
      <w:r w:rsidR="0099239D">
        <w:rPr>
          <w:lang w:val="en-GB"/>
        </w:rPr>
        <w:t xml:space="preserve">C&amp;C </w:t>
      </w:r>
      <w:r w:rsidR="0099239D" w:rsidRPr="0099239D">
        <w:rPr>
          <w:lang w:val="en-GB"/>
        </w:rPr>
        <w:t>communications technique is to use publicly available DNS servers rather than the systems inside a private network. Advanced-persistent-threat actors try to use public DNS services to avoid logging within the private ne</w:t>
      </w:r>
      <w:r w:rsidR="0099239D">
        <w:rPr>
          <w:lang w:val="en-GB"/>
        </w:rPr>
        <w:t>twork and risk detection.</w:t>
      </w:r>
      <w:sdt>
        <w:sdtPr>
          <w:rPr>
            <w:lang w:val="en-GB"/>
          </w:rPr>
          <w:id w:val="-1402056635"/>
          <w:citation/>
        </w:sdtPr>
        <w:sdtContent>
          <w:r w:rsidR="0099239D">
            <w:rPr>
              <w:lang w:val="en-GB"/>
            </w:rPr>
            <w:fldChar w:fldCharType="begin"/>
          </w:r>
          <w:r w:rsidR="00564307">
            <w:rPr>
              <w:lang w:val="en-GB"/>
            </w:rPr>
            <w:instrText xml:space="preserve">CITATION Ada14 \l 1043 </w:instrText>
          </w:r>
          <w:r w:rsidR="0099239D">
            <w:rPr>
              <w:lang w:val="en-GB"/>
            </w:rPr>
            <w:fldChar w:fldCharType="separate"/>
          </w:r>
          <w:r w:rsidR="00564307">
            <w:rPr>
              <w:noProof/>
              <w:lang w:val="en-GB"/>
            </w:rPr>
            <w:t xml:space="preserve"> </w:t>
          </w:r>
          <w:r w:rsidR="00564307" w:rsidRPr="00564307">
            <w:rPr>
              <w:noProof/>
              <w:lang w:val="en-GB"/>
            </w:rPr>
            <w:t>(James Ringold, 2014)</w:t>
          </w:r>
          <w:r w:rsidR="0099239D">
            <w:rPr>
              <w:lang w:val="en-GB"/>
            </w:rPr>
            <w:fldChar w:fldCharType="end"/>
          </w:r>
        </w:sdtContent>
      </w:sdt>
      <w:r w:rsidR="0099239D">
        <w:rPr>
          <w:lang w:val="en-GB"/>
        </w:rPr>
        <w:t xml:space="preserve"> </w:t>
      </w:r>
      <w:r w:rsidR="00D67B2C">
        <w:rPr>
          <w:lang w:val="en-GB"/>
        </w:rPr>
        <w:t xml:space="preserve">The </w:t>
      </w:r>
      <w:r w:rsidR="00511129">
        <w:rPr>
          <w:lang w:val="en-GB"/>
        </w:rPr>
        <w:t>goal</w:t>
      </w:r>
      <w:r w:rsidR="00D67B2C">
        <w:rPr>
          <w:lang w:val="en-GB"/>
        </w:rPr>
        <w:t xml:space="preserve"> to protect the C&amp;C servers is the direct opposite of what the problem owners</w:t>
      </w:r>
      <w:r w:rsidR="00511129">
        <w:rPr>
          <w:lang w:val="en-GB"/>
        </w:rPr>
        <w:t>,</w:t>
      </w:r>
      <w:r w:rsidR="00564307">
        <w:rPr>
          <w:lang w:val="en-GB"/>
        </w:rPr>
        <w:t xml:space="preserve"> mentioned in the previous section </w:t>
      </w:r>
      <w:r w:rsidR="00D67B2C">
        <w:rPr>
          <w:lang w:val="en-GB"/>
        </w:rPr>
        <w:t xml:space="preserve">have </w:t>
      </w:r>
      <w:r w:rsidR="00CD7488">
        <w:rPr>
          <w:lang w:val="en-GB"/>
        </w:rPr>
        <w:t xml:space="preserve">namely, </w:t>
      </w:r>
      <w:r w:rsidR="00E82988">
        <w:rPr>
          <w:lang w:val="en-GB"/>
        </w:rPr>
        <w:t xml:space="preserve">to disrupt the C&amp;C. </w:t>
      </w:r>
      <w:r w:rsidR="00564307">
        <w:rPr>
          <w:lang w:val="en-GB"/>
        </w:rPr>
        <w:t>T</w:t>
      </w:r>
      <w:r w:rsidR="00CD7488">
        <w:rPr>
          <w:lang w:val="en-GB"/>
        </w:rPr>
        <w:t xml:space="preserve">he consumers and business </w:t>
      </w:r>
      <w:r w:rsidR="00564307">
        <w:rPr>
          <w:lang w:val="en-GB"/>
        </w:rPr>
        <w:t xml:space="preserve">also </w:t>
      </w:r>
      <w:r w:rsidR="00EC2B3A">
        <w:rPr>
          <w:lang w:val="en-GB"/>
        </w:rPr>
        <w:t xml:space="preserve">have </w:t>
      </w:r>
      <w:r w:rsidR="00564307">
        <w:rPr>
          <w:lang w:val="en-GB"/>
        </w:rPr>
        <w:t>conflicting strategies</w:t>
      </w:r>
      <w:r w:rsidR="00CD7488">
        <w:rPr>
          <w:lang w:val="en-GB"/>
        </w:rPr>
        <w:t xml:space="preserve"> because they </w:t>
      </w:r>
      <w:r w:rsidR="00511129">
        <w:rPr>
          <w:lang w:val="en-GB"/>
        </w:rPr>
        <w:t xml:space="preserve">are </w:t>
      </w:r>
      <w:r w:rsidR="00CD7488">
        <w:rPr>
          <w:lang w:val="en-GB"/>
        </w:rPr>
        <w:t xml:space="preserve">the ones targeted. </w:t>
      </w:r>
    </w:p>
    <w:p w:rsidR="00564307" w:rsidRDefault="00777987" w:rsidP="00515488">
      <w:pPr>
        <w:rPr>
          <w:lang w:val="en-GB"/>
        </w:rPr>
      </w:pPr>
      <w:r>
        <w:rPr>
          <w:lang w:val="en-GB"/>
        </w:rPr>
        <w:t xml:space="preserve">Strategies </w:t>
      </w:r>
      <w:r w:rsidR="006E3CE5">
        <w:rPr>
          <w:lang w:val="en-GB"/>
        </w:rPr>
        <w:t xml:space="preserve">used by </w:t>
      </w:r>
      <w:r>
        <w:rPr>
          <w:lang w:val="en-GB"/>
        </w:rPr>
        <w:t xml:space="preserve">consumers </w:t>
      </w:r>
      <w:r w:rsidR="006E3CE5">
        <w:rPr>
          <w:lang w:val="en-GB"/>
        </w:rPr>
        <w:t xml:space="preserve">are listed in the category risk mitigation and risk transfer. </w:t>
      </w:r>
      <w:r w:rsidR="00EC2B3A">
        <w:rPr>
          <w:lang w:val="en-GB"/>
        </w:rPr>
        <w:t xml:space="preserve">The consumers can mitigate the risk by installing firewalls, make back-ups and don’t open </w:t>
      </w:r>
      <w:r w:rsidR="00357A20">
        <w:rPr>
          <w:lang w:val="en-GB"/>
        </w:rPr>
        <w:t xml:space="preserve">untrustworthy </w:t>
      </w:r>
      <w:r w:rsidR="00EC2B3A">
        <w:rPr>
          <w:lang w:val="en-GB"/>
        </w:rPr>
        <w:t xml:space="preserve">emails. Consumers can also transfer the risk toward the ISP. </w:t>
      </w:r>
      <w:r w:rsidR="00357A20">
        <w:rPr>
          <w:lang w:val="en-GB"/>
        </w:rPr>
        <w:t>In this case a contractual agreement of financial compensation with the ISP is formed.</w:t>
      </w:r>
      <w:r w:rsidR="00CB2743">
        <w:rPr>
          <w:lang w:val="en-GB"/>
        </w:rPr>
        <w:t xml:space="preserve"> </w:t>
      </w:r>
    </w:p>
    <w:p w:rsidR="006E3CE5" w:rsidRDefault="006E3CE5">
      <w:pPr>
        <w:rPr>
          <w:lang w:val="en-GB"/>
        </w:rPr>
      </w:pPr>
      <w:r>
        <w:rPr>
          <w:lang w:val="en-GB"/>
        </w:rPr>
        <w:t>Businesses are targeted a lot</w:t>
      </w:r>
      <w:r w:rsidR="00511129">
        <w:rPr>
          <w:lang w:val="en-GB"/>
        </w:rPr>
        <w:t xml:space="preserve"> by SPAM</w:t>
      </w:r>
      <w:r w:rsidR="00AE2175">
        <w:rPr>
          <w:lang w:val="en-GB"/>
        </w:rPr>
        <w:t xml:space="preserve">, </w:t>
      </w:r>
      <w:r w:rsidR="00AE2175" w:rsidRPr="00AE2175">
        <w:rPr>
          <w:lang w:val="en-GB"/>
        </w:rPr>
        <w:t>The annual cost due to loss in productivity through spam is estimated to be around $20 billion. This is because a percentage of an employee’s time is spent browsing and deleting individual spam messages during a given day at work.</w:t>
      </w:r>
      <w:r w:rsidR="00427734">
        <w:rPr>
          <w:lang w:val="en-GB"/>
        </w:rPr>
        <w:t xml:space="preserve"> (Malik A. </w:t>
      </w:r>
      <w:proofErr w:type="spellStart"/>
      <w:r w:rsidR="00427734">
        <w:rPr>
          <w:lang w:val="en-GB"/>
        </w:rPr>
        <w:t>Feroze</w:t>
      </w:r>
      <w:proofErr w:type="spellEnd"/>
      <w:r w:rsidR="00427734">
        <w:rPr>
          <w:lang w:val="en-GB"/>
        </w:rPr>
        <w:t>, 2015)</w:t>
      </w:r>
      <w:r w:rsidR="00511129">
        <w:rPr>
          <w:lang w:val="en-GB"/>
        </w:rPr>
        <w:t xml:space="preserve"> Businesses have a lot of the same risk strategies as the consumers but cannot accept certain risks for legal reasons. To make sure privacy data of costumers </w:t>
      </w:r>
      <w:r w:rsidR="00427734">
        <w:rPr>
          <w:lang w:val="en-GB"/>
        </w:rPr>
        <w:t>and</w:t>
      </w:r>
      <w:r w:rsidR="00E82988">
        <w:rPr>
          <w:lang w:val="en-GB"/>
        </w:rPr>
        <w:t xml:space="preserve"> other sensitive data </w:t>
      </w:r>
      <w:r w:rsidR="00511129">
        <w:rPr>
          <w:lang w:val="en-GB"/>
        </w:rPr>
        <w:t>is not leaked</w:t>
      </w:r>
      <w:r w:rsidR="00E82988">
        <w:rPr>
          <w:lang w:val="en-GB"/>
        </w:rPr>
        <w:t>,</w:t>
      </w:r>
      <w:r w:rsidR="00511129">
        <w:rPr>
          <w:lang w:val="en-GB"/>
        </w:rPr>
        <w:t xml:space="preserve"> employees should be trained </w:t>
      </w:r>
      <w:r w:rsidR="00E82988">
        <w:rPr>
          <w:lang w:val="en-GB"/>
        </w:rPr>
        <w:t xml:space="preserve">in recognising SPAM. </w:t>
      </w:r>
      <w:r w:rsidR="00CB2743">
        <w:rPr>
          <w:lang w:val="en-GB"/>
        </w:rPr>
        <w:t xml:space="preserve">A </w:t>
      </w:r>
      <w:r w:rsidR="00CB2743" w:rsidRPr="00CB2743">
        <w:rPr>
          <w:lang w:val="en-GB"/>
        </w:rPr>
        <w:t>proactive strategy, such as staff training and adoption of innovative strategies</w:t>
      </w:r>
      <w:r w:rsidR="009D1F6A">
        <w:rPr>
          <w:lang w:val="en-GB"/>
        </w:rPr>
        <w:t xml:space="preserve"> in a timely fashion, can yield </w:t>
      </w:r>
      <w:r w:rsidR="00CB2743" w:rsidRPr="00CB2743">
        <w:rPr>
          <w:lang w:val="en-GB"/>
        </w:rPr>
        <w:t>significa</w:t>
      </w:r>
      <w:r w:rsidR="009D1F6A">
        <w:rPr>
          <w:lang w:val="en-GB"/>
        </w:rPr>
        <w:t>nt benefits at reasonable costs. (Brent Rowe, 2006)</w:t>
      </w:r>
      <w:r w:rsidR="00511129">
        <w:rPr>
          <w:lang w:val="en-GB"/>
        </w:rPr>
        <w:t xml:space="preserve">  </w:t>
      </w:r>
    </w:p>
    <w:p w:rsidR="00607713" w:rsidRDefault="006E3CE5">
      <w:pPr>
        <w:rPr>
          <w:lang w:val="en-GB"/>
        </w:rPr>
      </w:pPr>
      <w:r>
        <w:rPr>
          <w:lang w:val="en-GB"/>
        </w:rPr>
        <w:t>Money mules</w:t>
      </w:r>
      <w:r w:rsidR="00AA6C85">
        <w:rPr>
          <w:lang w:val="en-GB"/>
        </w:rPr>
        <w:t xml:space="preserve"> make the withdrawals from the bank account</w:t>
      </w:r>
      <w:r w:rsidR="00607713">
        <w:rPr>
          <w:lang w:val="en-GB"/>
        </w:rPr>
        <w:t>s</w:t>
      </w:r>
      <w:r w:rsidR="00AA6C85">
        <w:rPr>
          <w:lang w:val="en-GB"/>
        </w:rPr>
        <w:t xml:space="preserve"> the </w:t>
      </w:r>
      <w:r w:rsidR="00607713">
        <w:rPr>
          <w:lang w:val="en-GB"/>
        </w:rPr>
        <w:t>money generated by the botnet are</w:t>
      </w:r>
      <w:r w:rsidR="00AA6C85">
        <w:rPr>
          <w:lang w:val="en-GB"/>
        </w:rPr>
        <w:t xml:space="preserve"> transferred to. </w:t>
      </w:r>
      <w:r w:rsidR="00607713">
        <w:rPr>
          <w:lang w:val="en-GB"/>
        </w:rPr>
        <w:t>The names of the botnet masters or the money mules are not registered to these bank</w:t>
      </w:r>
      <w:r w:rsidR="00AA6C85">
        <w:rPr>
          <w:lang w:val="en-GB"/>
        </w:rPr>
        <w:t xml:space="preserve"> account</w:t>
      </w:r>
      <w:r w:rsidR="00607713">
        <w:rPr>
          <w:lang w:val="en-GB"/>
        </w:rPr>
        <w:t>s which leave them anonymous</w:t>
      </w:r>
      <w:r w:rsidR="00AA6C85">
        <w:rPr>
          <w:lang w:val="en-GB"/>
        </w:rPr>
        <w:t xml:space="preserve">. The withdrawals are </w:t>
      </w:r>
      <w:r w:rsidR="00A80BAB">
        <w:rPr>
          <w:lang w:val="en-GB"/>
        </w:rPr>
        <w:t xml:space="preserve">physically </w:t>
      </w:r>
      <w:r w:rsidR="00AA6C85">
        <w:rPr>
          <w:lang w:val="en-GB"/>
        </w:rPr>
        <w:t xml:space="preserve">done at ATMs </w:t>
      </w:r>
      <w:r w:rsidR="00607713">
        <w:rPr>
          <w:lang w:val="en-GB"/>
        </w:rPr>
        <w:t xml:space="preserve">which make them </w:t>
      </w:r>
      <w:r w:rsidR="00A80BAB">
        <w:rPr>
          <w:lang w:val="en-GB"/>
        </w:rPr>
        <w:t>irrelevant</w:t>
      </w:r>
      <w:r w:rsidR="00607713">
        <w:rPr>
          <w:lang w:val="en-GB"/>
        </w:rPr>
        <w:t xml:space="preserve"> for cyber security risks</w:t>
      </w:r>
      <w:r w:rsidR="00A80BAB">
        <w:rPr>
          <w:lang w:val="en-GB"/>
        </w:rPr>
        <w:t xml:space="preserve"> strategies</w:t>
      </w:r>
      <w:r w:rsidR="00607713">
        <w:rPr>
          <w:lang w:val="en-GB"/>
        </w:rPr>
        <w:t xml:space="preserve">.    </w:t>
      </w:r>
    </w:p>
    <w:p w:rsidR="00427734" w:rsidRDefault="006E3CE5">
      <w:pPr>
        <w:rPr>
          <w:lang w:val="en-GB"/>
        </w:rPr>
      </w:pPr>
      <w:r>
        <w:rPr>
          <w:lang w:val="en-GB"/>
        </w:rPr>
        <w:t xml:space="preserve">Malware programmers </w:t>
      </w:r>
      <w:r w:rsidR="00CB2743">
        <w:rPr>
          <w:lang w:val="en-GB"/>
        </w:rPr>
        <w:t xml:space="preserve">are the coders that create the C&amp;C’s and write the code that infects the machines. </w:t>
      </w:r>
      <w:r w:rsidR="00CB2743" w:rsidRPr="00CB2743">
        <w:rPr>
          <w:lang w:val="en-GB"/>
        </w:rPr>
        <w:t>Malware use various techniques to camouflage them to not be easi</w:t>
      </w:r>
      <w:bookmarkStart w:id="0" w:name="_GoBack"/>
      <w:bookmarkEnd w:id="0"/>
      <w:r w:rsidR="00CB2743" w:rsidRPr="00CB2743">
        <w:rPr>
          <w:lang w:val="en-GB"/>
        </w:rPr>
        <w:t xml:space="preserve">ly visible and make their lifetime as longer as possible. Although, camouflage approaches cannot fully stop the </w:t>
      </w:r>
      <w:r w:rsidR="009D1F6A" w:rsidRPr="00CB2743">
        <w:rPr>
          <w:lang w:val="en-GB"/>
        </w:rPr>
        <w:t>analysing</w:t>
      </w:r>
      <w:r w:rsidR="00CB2743" w:rsidRPr="00CB2743">
        <w:rPr>
          <w:lang w:val="en-GB"/>
        </w:rPr>
        <w:t xml:space="preserve"> and fighting against the malware, but it make the process of </w:t>
      </w:r>
      <w:r w:rsidR="009D1F6A" w:rsidRPr="00CB2743">
        <w:rPr>
          <w:lang w:val="en-GB"/>
        </w:rPr>
        <w:t>analysing</w:t>
      </w:r>
      <w:r w:rsidR="00CB2743" w:rsidRPr="00CB2743">
        <w:rPr>
          <w:lang w:val="en-GB"/>
        </w:rPr>
        <w:t xml:space="preserve"> and detection prolonged, so the malware can get more time to widely spread</w:t>
      </w:r>
      <w:r w:rsidR="00CB2743">
        <w:rPr>
          <w:lang w:val="en-GB"/>
        </w:rPr>
        <w:t>.</w:t>
      </w:r>
      <w:r w:rsidR="009D1F6A">
        <w:rPr>
          <w:lang w:val="en-GB"/>
        </w:rPr>
        <w:t xml:space="preserve"> </w:t>
      </w:r>
      <w:r w:rsidR="009D1F6A">
        <w:rPr>
          <w:lang w:val="en-GB"/>
        </w:rPr>
        <w:t>(</w:t>
      </w:r>
      <w:proofErr w:type="spellStart"/>
      <w:r w:rsidR="009D1F6A" w:rsidRPr="009D1F6A">
        <w:rPr>
          <w:lang w:val="en-GB"/>
        </w:rPr>
        <w:t>Babak</w:t>
      </w:r>
      <w:proofErr w:type="spellEnd"/>
      <w:r w:rsidR="009D1F6A" w:rsidRPr="009D1F6A">
        <w:rPr>
          <w:lang w:val="en-GB"/>
        </w:rPr>
        <w:t xml:space="preserve"> </w:t>
      </w:r>
      <w:proofErr w:type="spellStart"/>
      <w:r w:rsidR="009D1F6A" w:rsidRPr="009D1F6A">
        <w:rPr>
          <w:lang w:val="en-GB"/>
        </w:rPr>
        <w:t>Bashari</w:t>
      </w:r>
      <w:proofErr w:type="spellEnd"/>
      <w:r w:rsidR="009D1F6A" w:rsidRPr="009D1F6A">
        <w:rPr>
          <w:lang w:val="en-GB"/>
        </w:rPr>
        <w:t xml:space="preserve"> Rad</w:t>
      </w:r>
      <w:r w:rsidR="009D1F6A">
        <w:rPr>
          <w:lang w:val="en-GB"/>
        </w:rPr>
        <w:t xml:space="preserve">, 2012) </w:t>
      </w:r>
      <w:r w:rsidR="009D1F6A">
        <w:rPr>
          <w:lang w:val="en-GB"/>
        </w:rPr>
        <w:t>To reduce the risk to get th</w:t>
      </w:r>
      <w:r w:rsidR="00427734">
        <w:rPr>
          <w:lang w:val="en-GB"/>
        </w:rPr>
        <w:t>eir</w:t>
      </w:r>
      <w:r w:rsidR="009D1F6A">
        <w:rPr>
          <w:lang w:val="en-GB"/>
        </w:rPr>
        <w:t xml:space="preserve"> malware detected the programmers need to keep investing in new techniques to camouflage the malware.  </w:t>
      </w:r>
    </w:p>
    <w:p w:rsidR="001F08C1" w:rsidRDefault="00427734" w:rsidP="001F08C1">
      <w:pPr>
        <w:rPr>
          <w:lang w:val="en-GB"/>
        </w:rPr>
      </w:pPr>
      <w:r>
        <w:rPr>
          <w:lang w:val="en-GB"/>
        </w:rPr>
        <w:t xml:space="preserve">The actors described above </w:t>
      </w:r>
      <w:r w:rsidR="001F08C1">
        <w:rPr>
          <w:lang w:val="en-GB"/>
        </w:rPr>
        <w:t>have</w:t>
      </w:r>
      <w:r w:rsidR="006C7EB3">
        <w:rPr>
          <w:lang w:val="en-GB"/>
        </w:rPr>
        <w:t xml:space="preserve"> clear opp</w:t>
      </w:r>
      <w:r w:rsidR="001F08C1">
        <w:rPr>
          <w:lang w:val="en-GB"/>
        </w:rPr>
        <w:t xml:space="preserve">osite interest concerning SPAM. On the one hand there are the criminals and on the other hand there are the actors targeted by the criminals. The constant </w:t>
      </w:r>
      <w:r w:rsidR="001F08C1">
        <w:rPr>
          <w:lang w:val="en-GB"/>
        </w:rPr>
        <w:lastRenderedPageBreak/>
        <w:t xml:space="preserve">change in threats and vulnerabilities ensures that all actors have to change their risk security strategies throughout time. </w:t>
      </w:r>
      <w:r w:rsidR="009D1F6A">
        <w:rPr>
          <w:lang w:val="en-GB"/>
        </w:rPr>
        <w:t xml:space="preserve"> </w:t>
      </w:r>
    </w:p>
    <w:sdt>
      <w:sdtPr>
        <w:id w:val="1976869582"/>
        <w:docPartObj>
          <w:docPartGallery w:val="Bibliographies"/>
          <w:docPartUnique/>
        </w:docPartObj>
      </w:sdtPr>
      <w:sdtContent>
        <w:p w:rsidR="00564307" w:rsidRPr="001F08C1" w:rsidRDefault="00564307" w:rsidP="001F08C1">
          <w:pPr>
            <w:rPr>
              <w:rStyle w:val="Heading1Char"/>
            </w:rPr>
          </w:pPr>
          <w:proofErr w:type="spellStart"/>
          <w:r w:rsidRPr="001F08C1">
            <w:rPr>
              <w:rStyle w:val="Heading1Char"/>
            </w:rPr>
            <w:t>Bibliography</w:t>
          </w:r>
          <w:proofErr w:type="spellEnd"/>
        </w:p>
        <w:sdt>
          <w:sdtPr>
            <w:id w:val="111145805"/>
            <w:bibliography/>
          </w:sdtPr>
          <w:sdtContent>
            <w:p w:rsidR="00427734" w:rsidRDefault="00427734" w:rsidP="00564307">
              <w:pPr>
                <w:pStyle w:val="Bibliography"/>
                <w:ind w:left="720" w:hanging="720"/>
              </w:pPr>
              <w:proofErr w:type="spellStart"/>
              <w:r w:rsidRPr="00427734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lang w:val="en-GB"/>
                </w:rPr>
                <w:t>Feroze</w:t>
              </w:r>
              <w:proofErr w:type="spellEnd"/>
              <w:r w:rsidRPr="00427734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lang w:val="en-GB"/>
                </w:rPr>
                <w:t xml:space="preserve">, M. A., </w:t>
              </w:r>
              <w:proofErr w:type="spellStart"/>
              <w:r w:rsidRPr="00427734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lang w:val="en-GB"/>
                </w:rPr>
                <w:t>Baig</w:t>
              </w:r>
              <w:proofErr w:type="spellEnd"/>
              <w:r w:rsidRPr="00427734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lang w:val="en-GB"/>
                </w:rPr>
                <w:t>, Z. A., &amp; Johnstone, M. N. (2015). A Two-Tiered User Feedback-based Approach for Spam Detection.</w:t>
              </w:r>
              <w:r w:rsidRPr="00427734">
                <w:rPr>
                  <w:rStyle w:val="apple-converted-space"/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lang w:val="en-GB"/>
                </w:rPr>
                <w:t> </w:t>
              </w:r>
              <w:r>
                <w:rPr>
                  <w:rFonts w:ascii="Arial" w:hAnsi="Arial" w:cs="Arial"/>
                  <w:i/>
                  <w:iCs/>
                  <w:color w:val="222222"/>
                  <w:sz w:val="20"/>
                  <w:szCs w:val="20"/>
                  <w:shd w:val="clear" w:color="auto" w:fill="FFFFFF"/>
                </w:rPr>
                <w:t>ICSNC 2015</w:t>
              </w:r>
              <w: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</w:rPr>
                <w:t>, 22.</w:t>
              </w:r>
            </w:p>
            <w:p w:rsidR="009D1F6A" w:rsidRDefault="009D1F6A" w:rsidP="00564307">
              <w:pPr>
                <w:pStyle w:val="Bibliography"/>
                <w:ind w:left="720" w:hanging="720"/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lang w:val="en-GB"/>
                </w:rPr>
              </w:pPr>
              <w:r w:rsidRPr="009D1F6A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lang w:val="en-GB"/>
                </w:rPr>
                <w:t xml:space="preserve">Rad, B. B., </w:t>
              </w:r>
              <w:proofErr w:type="spellStart"/>
              <w:r w:rsidRPr="009D1F6A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lang w:val="en-GB"/>
                </w:rPr>
                <w:t>Masrom</w:t>
              </w:r>
              <w:proofErr w:type="spellEnd"/>
              <w:r w:rsidRPr="009D1F6A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lang w:val="en-GB"/>
                </w:rPr>
                <w:t>, M., &amp; Ibrahim, S. (2012). Camouflage in malware: from encryption to metamorphism.</w:t>
              </w:r>
              <w:r w:rsidRPr="009D1F6A">
                <w:rPr>
                  <w:rStyle w:val="apple-converted-space"/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lang w:val="en-GB"/>
                </w:rPr>
                <w:t> </w:t>
              </w:r>
              <w:r w:rsidRPr="009D1F6A">
                <w:rPr>
                  <w:rFonts w:ascii="Arial" w:hAnsi="Arial" w:cs="Arial"/>
                  <w:i/>
                  <w:iCs/>
                  <w:color w:val="222222"/>
                  <w:sz w:val="20"/>
                  <w:szCs w:val="20"/>
                  <w:shd w:val="clear" w:color="auto" w:fill="FFFFFF"/>
                  <w:lang w:val="en-GB"/>
                </w:rPr>
                <w:t>International Journal of Computer Science and Network Security</w:t>
              </w:r>
              <w:r w:rsidRPr="009D1F6A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lang w:val="en-GB"/>
                </w:rPr>
                <w:t>,</w:t>
              </w:r>
              <w:r w:rsidRPr="009D1F6A">
                <w:rPr>
                  <w:rStyle w:val="apple-converted-space"/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lang w:val="en-GB"/>
                </w:rPr>
                <w:t> </w:t>
              </w:r>
              <w:r w:rsidRPr="009D1F6A">
                <w:rPr>
                  <w:rFonts w:ascii="Arial" w:hAnsi="Arial" w:cs="Arial"/>
                  <w:i/>
                  <w:iCs/>
                  <w:color w:val="222222"/>
                  <w:sz w:val="20"/>
                  <w:szCs w:val="20"/>
                  <w:shd w:val="clear" w:color="auto" w:fill="FFFFFF"/>
                  <w:lang w:val="en-GB"/>
                </w:rPr>
                <w:t>12</w:t>
              </w:r>
              <w:r w:rsidRPr="009D1F6A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lang w:val="en-GB"/>
                </w:rPr>
                <w:t>(8), 74-83.</w:t>
              </w:r>
            </w:p>
            <w:p w:rsidR="00564307" w:rsidRDefault="00564307" w:rsidP="0056430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564307">
                <w:rPr>
                  <w:lang w:val="en-GB"/>
                </w:rPr>
                <w:instrText xml:space="preserve"> BIBLIOGRAPHY </w:instrText>
              </w:r>
              <w:r>
                <w:fldChar w:fldCharType="separate"/>
              </w:r>
              <w:r w:rsidRPr="00564307">
                <w:rPr>
                  <w:noProof/>
                  <w:lang w:val="en-GB"/>
                </w:rPr>
                <w:t xml:space="preserve">Ringold, A. R. (2014, June). </w:t>
              </w:r>
              <w:r w:rsidRPr="00564307">
                <w:rPr>
                  <w:i/>
                  <w:iCs/>
                  <w:noProof/>
                  <w:lang w:val="en-GB"/>
                </w:rPr>
                <w:t>Command-and-control servers: The puppet masters that govern malware</w:t>
              </w:r>
              <w:r w:rsidRPr="00564307">
                <w:rPr>
                  <w:noProof/>
                  <w:lang w:val="en-GB"/>
                </w:rPr>
                <w:t xml:space="preserve">. </w:t>
              </w:r>
              <w:r w:rsidRPr="00777987">
                <w:rPr>
                  <w:noProof/>
                  <w:lang w:val="en-GB"/>
                </w:rPr>
                <w:t xml:space="preserve">Opgehaald van </w:t>
              </w:r>
              <w:r>
                <w:rPr>
                  <w:noProof/>
                </w:rPr>
                <w:t>Techtarget.com: http://searchsecurity.techtarget.com/feature/Command-and-control-servers-The-puppet-masters-that-govern-malware</w:t>
              </w:r>
            </w:p>
            <w:p w:rsidR="00564307" w:rsidRPr="00CB2743" w:rsidRDefault="00564307" w:rsidP="00564307">
              <w:pPr>
                <w:rPr>
                  <w:lang w:val="en-GB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  <w:r w:rsidR="00CB2743" w:rsidRPr="00CB2743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lang w:val="en-GB"/>
                </w:rPr>
                <w:t>Rowe, B. R., &amp; Gallaher, M. P. (2006, March). Private sector cyber security investment strategies: An empirical analysis. In</w:t>
              </w:r>
              <w:r w:rsidR="00CB2743" w:rsidRPr="00CB2743">
                <w:rPr>
                  <w:rStyle w:val="apple-converted-space"/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lang w:val="en-GB"/>
                </w:rPr>
                <w:t> </w:t>
              </w:r>
              <w:r w:rsidR="00CB2743" w:rsidRPr="00CB2743">
                <w:rPr>
                  <w:rFonts w:ascii="Arial" w:hAnsi="Arial" w:cs="Arial"/>
                  <w:i/>
                  <w:iCs/>
                  <w:color w:val="222222"/>
                  <w:sz w:val="20"/>
                  <w:szCs w:val="20"/>
                  <w:shd w:val="clear" w:color="auto" w:fill="FFFFFF"/>
                  <w:lang w:val="en-GB"/>
                </w:rPr>
                <w:t>The fifth workshop on the economics of information security (WEIS06)</w:t>
              </w:r>
              <w:r w:rsidR="00CB2743" w:rsidRPr="00CB2743"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lang w:val="en-GB"/>
                </w:rPr>
                <w:t>.</w:t>
              </w:r>
            </w:p>
          </w:sdtContent>
        </w:sdt>
      </w:sdtContent>
    </w:sdt>
    <w:p w:rsidR="001D75A4" w:rsidRPr="00515488" w:rsidRDefault="001D75A4" w:rsidP="00515488">
      <w:pPr>
        <w:rPr>
          <w:lang w:val="en-GB"/>
        </w:rPr>
      </w:pPr>
    </w:p>
    <w:sectPr w:rsidR="001D75A4" w:rsidRPr="00515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372E94"/>
    <w:multiLevelType w:val="hybridMultilevel"/>
    <w:tmpl w:val="31FCE364"/>
    <w:lvl w:ilvl="0" w:tplc="7304FB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A4"/>
    <w:rsid w:val="00102283"/>
    <w:rsid w:val="001B77FB"/>
    <w:rsid w:val="001D75A4"/>
    <w:rsid w:val="001F08C1"/>
    <w:rsid w:val="00264E7F"/>
    <w:rsid w:val="00357A20"/>
    <w:rsid w:val="003F17EF"/>
    <w:rsid w:val="00427734"/>
    <w:rsid w:val="00511129"/>
    <w:rsid w:val="00515488"/>
    <w:rsid w:val="00564307"/>
    <w:rsid w:val="00607713"/>
    <w:rsid w:val="006C7EB3"/>
    <w:rsid w:val="006E3CE5"/>
    <w:rsid w:val="00777987"/>
    <w:rsid w:val="0099239D"/>
    <w:rsid w:val="009A3B7A"/>
    <w:rsid w:val="009D1F6A"/>
    <w:rsid w:val="00A80BAB"/>
    <w:rsid w:val="00AA6C85"/>
    <w:rsid w:val="00AE2175"/>
    <w:rsid w:val="00BD7453"/>
    <w:rsid w:val="00C62E5B"/>
    <w:rsid w:val="00C64116"/>
    <w:rsid w:val="00CB2743"/>
    <w:rsid w:val="00CD7488"/>
    <w:rsid w:val="00D67B2C"/>
    <w:rsid w:val="00E7645C"/>
    <w:rsid w:val="00E82601"/>
    <w:rsid w:val="00E82988"/>
    <w:rsid w:val="00EA5916"/>
    <w:rsid w:val="00E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D0053-8085-41E0-A631-401FF55E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5A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64307"/>
  </w:style>
  <w:style w:type="character" w:customStyle="1" w:styleId="apple-converted-space">
    <w:name w:val="apple-converted-space"/>
    <w:basedOn w:val="DefaultParagraphFont"/>
    <w:rsid w:val="00CB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5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Ada14</b:Tag>
    <b:SourceType>InternetSite</b:SourceType>
    <b:Guid>{0641E890-FF07-471E-915E-28038C602A75}</b:Guid>
    <b:Title>Command-and-control servers: The puppet masters that govern malware</b:Title>
    <b:Year>2014</b:Year>
    <b:Author>
      <b:Author>
        <b:NameList>
          <b:Person>
            <b:Last>James Ringold</b:Last>
            <b:First>Adam</b:First>
            <b:Middle>Rice</b:Middle>
          </b:Person>
        </b:NameList>
      </b:Author>
    </b:Author>
    <b:InternetSiteTitle>Techtarget.com</b:InternetSiteTitle>
    <b:Month>June</b:Month>
    <b:URL>http://searchsecurity.techtarget.com/feature/Command-and-control-servers-The-puppet-masters-that-govern-malware</b:URL>
    <b:RefOrder>1</b:RefOrder>
  </b:Source>
</b:Sources>
</file>

<file path=customXml/itemProps1.xml><?xml version="1.0" encoding="utf-8"?>
<ds:datastoreItem xmlns:ds="http://schemas.openxmlformats.org/officeDocument/2006/customXml" ds:itemID="{B3CCF7F5-BB8E-4C67-AB77-CC197557D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van der Spek</dc:creator>
  <cp:keywords/>
  <dc:description/>
  <cp:lastModifiedBy>Jorrit van der Spek</cp:lastModifiedBy>
  <cp:revision>3</cp:revision>
  <dcterms:created xsi:type="dcterms:W3CDTF">2016-10-10T07:04:00Z</dcterms:created>
  <dcterms:modified xsi:type="dcterms:W3CDTF">2016-10-10T07:15:00Z</dcterms:modified>
</cp:coreProperties>
</file>