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E5DE5" w14:textId="77777777" w:rsidR="00340765" w:rsidRDefault="00340765" w:rsidP="00340765">
      <w:pPr>
        <w:pStyle w:val="Ttulo2"/>
        <w:ind w:left="748" w:hanging="737"/>
      </w:pPr>
      <w:r>
        <w:t>Estratégias de Despacho</w:t>
      </w:r>
    </w:p>
    <w:p w14:paraId="5FC4DE3A" w14:textId="77777777" w:rsidR="00340765" w:rsidRPr="00340765" w:rsidRDefault="00340765" w:rsidP="00340765">
      <w:pPr>
        <w:spacing w:after="382"/>
        <w:ind w:left="11" w:right="15" w:firstLine="737"/>
        <w:rPr>
          <w:lang w:val="pt-BR"/>
        </w:rPr>
      </w:pPr>
      <w:r w:rsidRPr="00340765">
        <w:rPr>
          <w:lang w:val="pt-BR"/>
        </w:rPr>
        <w:t>Há diversas formas de despachar um armazenador de energia e cada uma delas depende de qual é o propósito do operador. A seguir apresenta-se e descreve-se alguns modos de operação do armazenador de energia (AE) disponíveis na literatura.</w:t>
      </w:r>
    </w:p>
    <w:p w14:paraId="1E8E2E37" w14:textId="77777777" w:rsidR="00340765" w:rsidRDefault="00340765" w:rsidP="00340765">
      <w:pPr>
        <w:numPr>
          <w:ilvl w:val="0"/>
          <w:numId w:val="1"/>
        </w:numPr>
        <w:spacing w:after="226" w:line="316" w:lineRule="auto"/>
        <w:ind w:right="15" w:hanging="234"/>
        <w:jc w:val="both"/>
      </w:pPr>
      <w:r w:rsidRPr="00340765">
        <w:rPr>
          <w:i/>
          <w:lang w:val="pt-BR"/>
        </w:rPr>
        <w:t>Balanceamento de Carga (</w:t>
      </w:r>
      <w:proofErr w:type="spellStart"/>
      <w:r w:rsidRPr="00340765">
        <w:rPr>
          <w:i/>
          <w:lang w:val="pt-BR"/>
        </w:rPr>
        <w:t>Load-Leveling</w:t>
      </w:r>
      <w:proofErr w:type="spellEnd"/>
      <w:proofErr w:type="gramStart"/>
      <w:r w:rsidRPr="00340765">
        <w:rPr>
          <w:i/>
          <w:lang w:val="pt-BR"/>
        </w:rPr>
        <w:t xml:space="preserve">) </w:t>
      </w:r>
      <w:r w:rsidRPr="00340765">
        <w:rPr>
          <w:lang w:val="pt-BR"/>
        </w:rPr>
        <w:t>:</w:t>
      </w:r>
      <w:proofErr w:type="gramEnd"/>
      <w:r w:rsidRPr="00340765">
        <w:rPr>
          <w:lang w:val="pt-BR"/>
        </w:rPr>
        <w:t xml:space="preserve"> Utilização do AE para atender às variações da curva de carga em intervalos diários e semanais [</w:t>
      </w:r>
      <w:r w:rsidRPr="00340765">
        <w:rPr>
          <w:color w:val="2905C3"/>
          <w:lang w:val="pt-BR"/>
        </w:rPr>
        <w:t>95</w:t>
      </w:r>
      <w:r w:rsidRPr="00340765">
        <w:rPr>
          <w:lang w:val="pt-BR"/>
        </w:rPr>
        <w:t xml:space="preserve">]. Baseia-se no recarregamento do AE quando a demanda de energia está fora de pico, e descarregamento do AE nos horários de pico. Seu objetivo é garantir uma uniformidade de carga para os sistemas de geração, transmissão e distribuição. </w:t>
      </w:r>
      <w:proofErr w:type="spellStart"/>
      <w:r>
        <w:t>Isso</w:t>
      </w:r>
      <w:proofErr w:type="spellEnd"/>
      <w:r>
        <w:t xml:space="preserve"> </w:t>
      </w:r>
      <w:proofErr w:type="spellStart"/>
      <w:r>
        <w:t>maximiza</w:t>
      </w:r>
      <w:proofErr w:type="spellEnd"/>
      <w:r>
        <w:t xml:space="preserve"> </w:t>
      </w:r>
      <w:proofErr w:type="gramStart"/>
      <w:r>
        <w:t>a</w:t>
      </w:r>
      <w:proofErr w:type="gramEnd"/>
      <w:r>
        <w:t xml:space="preserve"> </w:t>
      </w:r>
      <w:proofErr w:type="spellStart"/>
      <w:r>
        <w:t>eficiência</w:t>
      </w:r>
      <w:proofErr w:type="spellEnd"/>
      <w:r>
        <w:t xml:space="preserve"> do </w:t>
      </w:r>
      <w:proofErr w:type="spellStart"/>
      <w:r>
        <w:t>sistema</w:t>
      </w:r>
      <w:proofErr w:type="spellEnd"/>
      <w:r>
        <w:t xml:space="preserve"> de </w:t>
      </w:r>
      <w:proofErr w:type="spellStart"/>
      <w:r>
        <w:t>energia</w:t>
      </w:r>
      <w:proofErr w:type="spellEnd"/>
      <w:r>
        <w:t xml:space="preserve"> [</w:t>
      </w:r>
      <w:r>
        <w:rPr>
          <w:color w:val="2905C3"/>
        </w:rPr>
        <w:t>96</w:t>
      </w:r>
      <w:r>
        <w:t>].</w:t>
      </w:r>
    </w:p>
    <w:p w14:paraId="4F8FB0F9" w14:textId="77777777" w:rsidR="00340765" w:rsidRDefault="00340765" w:rsidP="00340765">
      <w:pPr>
        <w:numPr>
          <w:ilvl w:val="0"/>
          <w:numId w:val="1"/>
        </w:numPr>
        <w:spacing w:after="225" w:line="316" w:lineRule="auto"/>
        <w:ind w:right="15" w:hanging="234"/>
        <w:jc w:val="both"/>
      </w:pPr>
      <w:r w:rsidRPr="00340765">
        <w:rPr>
          <w:i/>
          <w:lang w:val="pt-BR"/>
        </w:rPr>
        <w:t>Gerenciamento de Demanda de Ponta (</w:t>
      </w:r>
      <w:proofErr w:type="spellStart"/>
      <w:r w:rsidRPr="00340765">
        <w:rPr>
          <w:i/>
          <w:lang w:val="pt-BR"/>
        </w:rPr>
        <w:t>Peak</w:t>
      </w:r>
      <w:proofErr w:type="spellEnd"/>
      <w:r w:rsidRPr="00340765">
        <w:rPr>
          <w:i/>
          <w:lang w:val="pt-BR"/>
        </w:rPr>
        <w:t xml:space="preserve"> </w:t>
      </w:r>
      <w:proofErr w:type="spellStart"/>
      <w:r w:rsidRPr="00340765">
        <w:rPr>
          <w:i/>
          <w:lang w:val="pt-BR"/>
        </w:rPr>
        <w:t>Shaving</w:t>
      </w:r>
      <w:proofErr w:type="spellEnd"/>
      <w:proofErr w:type="gramStart"/>
      <w:r w:rsidRPr="00340765">
        <w:rPr>
          <w:i/>
          <w:lang w:val="pt-BR"/>
        </w:rPr>
        <w:t xml:space="preserve">) </w:t>
      </w:r>
      <w:r w:rsidRPr="00340765">
        <w:rPr>
          <w:lang w:val="pt-BR"/>
        </w:rPr>
        <w:t>:</w:t>
      </w:r>
      <w:proofErr w:type="gramEnd"/>
      <w:r w:rsidRPr="00340765">
        <w:rPr>
          <w:lang w:val="pt-BR"/>
        </w:rPr>
        <w:t xml:space="preserve"> Utilização do AE para eliminação de picos de carga que podem provocar problemas operacionais como sobrecarga de condutores e/ou transformadores. </w:t>
      </w:r>
      <w:r>
        <w:t>[</w:t>
      </w:r>
      <w:r>
        <w:rPr>
          <w:color w:val="2905C3"/>
        </w:rPr>
        <w:t>97</w:t>
      </w:r>
      <w:r>
        <w:t>].</w:t>
      </w:r>
    </w:p>
    <w:p w14:paraId="568514C0" w14:textId="77777777" w:rsidR="00340765" w:rsidRDefault="00340765" w:rsidP="00340765">
      <w:pPr>
        <w:numPr>
          <w:ilvl w:val="0"/>
          <w:numId w:val="1"/>
        </w:numPr>
        <w:spacing w:after="253" w:line="316" w:lineRule="auto"/>
        <w:ind w:right="15" w:hanging="234"/>
        <w:jc w:val="both"/>
      </w:pPr>
      <w:r w:rsidRPr="00340765">
        <w:rPr>
          <w:i/>
          <w:lang w:val="pt-BR"/>
        </w:rPr>
        <w:t>Arbitragem (</w:t>
      </w:r>
      <w:proofErr w:type="spellStart"/>
      <w:r w:rsidRPr="00340765">
        <w:rPr>
          <w:i/>
          <w:lang w:val="pt-BR"/>
        </w:rPr>
        <w:t>Arbitrage</w:t>
      </w:r>
      <w:proofErr w:type="spellEnd"/>
      <w:r w:rsidRPr="00340765">
        <w:rPr>
          <w:i/>
          <w:lang w:val="pt-BR"/>
        </w:rPr>
        <w:t xml:space="preserve"> </w:t>
      </w:r>
      <w:proofErr w:type="spellStart"/>
      <w:r w:rsidRPr="00340765">
        <w:rPr>
          <w:i/>
          <w:lang w:val="pt-BR"/>
        </w:rPr>
        <w:t>or</w:t>
      </w:r>
      <w:proofErr w:type="spellEnd"/>
      <w:r w:rsidRPr="00340765">
        <w:rPr>
          <w:i/>
          <w:lang w:val="pt-BR"/>
        </w:rPr>
        <w:t xml:space="preserve"> Energy Time Shift</w:t>
      </w:r>
      <w:proofErr w:type="gramStart"/>
      <w:r w:rsidRPr="00340765">
        <w:rPr>
          <w:i/>
          <w:lang w:val="pt-BR"/>
        </w:rPr>
        <w:t xml:space="preserve">) </w:t>
      </w:r>
      <w:r w:rsidRPr="00340765">
        <w:rPr>
          <w:lang w:val="pt-BR"/>
        </w:rPr>
        <w:t>:</w:t>
      </w:r>
      <w:proofErr w:type="gramEnd"/>
      <w:r w:rsidRPr="00340765">
        <w:rPr>
          <w:lang w:val="pt-BR"/>
        </w:rPr>
        <w:t xml:space="preserve"> Trata-se de ”comprar barato e vender caro”. O AE armazena energia em períodos de preço baixo e fornece energia em períodos de preço elevado. Esta estratégia pode ser utilizada em ambientes de mercado, considerando o preço da energia, ou em ambientes regulados com tarifas TOU, dinâmicas ou em tempo real. </w:t>
      </w:r>
      <w:r>
        <w:t>[</w:t>
      </w:r>
      <w:r>
        <w:rPr>
          <w:color w:val="2905C3"/>
        </w:rPr>
        <w:t>98</w:t>
      </w:r>
      <w:r>
        <w:t>].</w:t>
      </w:r>
    </w:p>
    <w:p w14:paraId="4A79F0DA" w14:textId="77777777" w:rsidR="00340765" w:rsidRPr="00340765" w:rsidRDefault="00340765" w:rsidP="00340765">
      <w:pPr>
        <w:numPr>
          <w:ilvl w:val="0"/>
          <w:numId w:val="1"/>
        </w:numPr>
        <w:spacing w:after="236" w:line="316" w:lineRule="auto"/>
        <w:ind w:right="15" w:hanging="234"/>
        <w:jc w:val="both"/>
        <w:rPr>
          <w:lang w:val="pt-BR"/>
        </w:rPr>
      </w:pPr>
      <w:r w:rsidRPr="00340765">
        <w:rPr>
          <w:i/>
          <w:lang w:val="pt-BR"/>
        </w:rPr>
        <w:t>Acompanhar a carga (</w:t>
      </w:r>
      <w:proofErr w:type="spellStart"/>
      <w:r w:rsidRPr="00340765">
        <w:rPr>
          <w:i/>
          <w:lang w:val="pt-BR"/>
        </w:rPr>
        <w:t>Load-Following</w:t>
      </w:r>
      <w:proofErr w:type="spellEnd"/>
      <w:proofErr w:type="gramStart"/>
      <w:r w:rsidRPr="00340765">
        <w:rPr>
          <w:i/>
          <w:lang w:val="pt-BR"/>
        </w:rPr>
        <w:t xml:space="preserve">) </w:t>
      </w:r>
      <w:r w:rsidRPr="00340765">
        <w:rPr>
          <w:lang w:val="pt-BR"/>
        </w:rPr>
        <w:t>:</w:t>
      </w:r>
      <w:proofErr w:type="gramEnd"/>
      <w:r w:rsidRPr="00340765">
        <w:rPr>
          <w:lang w:val="pt-BR"/>
        </w:rPr>
        <w:t xml:space="preserve"> Absorve ou injeta potência para equilibrar variações de curto prazo da carga e da geração [</w:t>
      </w:r>
      <w:r w:rsidRPr="00340765">
        <w:rPr>
          <w:color w:val="2905C3"/>
          <w:lang w:val="pt-BR"/>
        </w:rPr>
        <w:t>96</w:t>
      </w:r>
      <w:r w:rsidRPr="00340765">
        <w:rPr>
          <w:lang w:val="pt-BR"/>
        </w:rPr>
        <w:t>].</w:t>
      </w:r>
    </w:p>
    <w:p w14:paraId="4319B2A3" w14:textId="77777777" w:rsidR="00340765" w:rsidRPr="00340765" w:rsidRDefault="00340765" w:rsidP="00340765">
      <w:pPr>
        <w:numPr>
          <w:ilvl w:val="0"/>
          <w:numId w:val="1"/>
        </w:numPr>
        <w:spacing w:after="239" w:line="316" w:lineRule="auto"/>
        <w:ind w:right="15" w:hanging="234"/>
        <w:jc w:val="both"/>
        <w:rPr>
          <w:lang w:val="pt-BR"/>
        </w:rPr>
      </w:pPr>
      <w:r w:rsidRPr="00340765">
        <w:rPr>
          <w:i/>
          <w:lang w:val="pt-BR"/>
        </w:rPr>
        <w:t xml:space="preserve">Regulação da </w:t>
      </w:r>
      <w:proofErr w:type="gramStart"/>
      <w:r w:rsidRPr="00340765">
        <w:rPr>
          <w:i/>
          <w:lang w:val="pt-BR"/>
        </w:rPr>
        <w:t xml:space="preserve">Frequência </w:t>
      </w:r>
      <w:r w:rsidRPr="00340765">
        <w:rPr>
          <w:lang w:val="pt-BR"/>
        </w:rPr>
        <w:t>:</w:t>
      </w:r>
      <w:proofErr w:type="gramEnd"/>
      <w:r w:rsidRPr="00340765">
        <w:rPr>
          <w:lang w:val="pt-BR"/>
        </w:rPr>
        <w:t xml:space="preserve"> A capacidade de armazenar ou fornecer energia do AE pode ser utilizada para restabelecer o balanço carga-geração no sistema e, desta forma, participar na regulação de frequência. Esta função é estudada na literatura no contexto de mercados de regulação de frequência, que operam com base em ofertas (</w:t>
      </w:r>
      <w:proofErr w:type="spellStart"/>
      <w:r w:rsidRPr="00340765">
        <w:rPr>
          <w:lang w:val="pt-BR"/>
        </w:rPr>
        <w:t>Bids</w:t>
      </w:r>
      <w:proofErr w:type="spellEnd"/>
      <w:r w:rsidRPr="00340765">
        <w:rPr>
          <w:lang w:val="pt-BR"/>
        </w:rPr>
        <w:t>) [</w:t>
      </w:r>
      <w:r w:rsidRPr="00340765">
        <w:rPr>
          <w:color w:val="2905C3"/>
          <w:lang w:val="pt-BR"/>
        </w:rPr>
        <w:t>99</w:t>
      </w:r>
      <w:r w:rsidRPr="00340765">
        <w:rPr>
          <w:lang w:val="pt-BR"/>
        </w:rPr>
        <w:t>].</w:t>
      </w:r>
    </w:p>
    <w:p w14:paraId="4BE6F014" w14:textId="77777777" w:rsidR="00340765" w:rsidRPr="00340765" w:rsidRDefault="00340765" w:rsidP="00340765">
      <w:pPr>
        <w:numPr>
          <w:ilvl w:val="0"/>
          <w:numId w:val="1"/>
        </w:numPr>
        <w:spacing w:after="239" w:line="316" w:lineRule="auto"/>
        <w:ind w:right="15" w:hanging="234"/>
        <w:jc w:val="both"/>
        <w:rPr>
          <w:lang w:val="pt-BR"/>
        </w:rPr>
      </w:pPr>
      <w:r w:rsidRPr="00340765">
        <w:rPr>
          <w:i/>
          <w:lang w:val="pt-BR"/>
        </w:rPr>
        <w:t xml:space="preserve">Regulação da </w:t>
      </w:r>
      <w:proofErr w:type="gramStart"/>
      <w:r w:rsidRPr="00340765">
        <w:rPr>
          <w:i/>
          <w:lang w:val="pt-BR"/>
        </w:rPr>
        <w:t xml:space="preserve">Tensão </w:t>
      </w:r>
      <w:r w:rsidRPr="00340765">
        <w:rPr>
          <w:lang w:val="pt-BR"/>
        </w:rPr>
        <w:t>:</w:t>
      </w:r>
      <w:proofErr w:type="gramEnd"/>
      <w:r w:rsidRPr="00340765">
        <w:rPr>
          <w:lang w:val="pt-BR"/>
        </w:rPr>
        <w:t xml:space="preserve"> A possibilidade do AE de trocar potência reativa permite que ele participe na regulação de tensão tradicional. Além disso, a possibilidade do AE de fornecer e absorver potência ativa permite sua atuação de forma mais ampla na regulação da tensão nos sistemas de distribuição com microgeração e minigeração [</w:t>
      </w:r>
      <w:r w:rsidRPr="00340765">
        <w:rPr>
          <w:color w:val="2905C3"/>
          <w:lang w:val="pt-BR"/>
        </w:rPr>
        <w:t>100</w:t>
      </w:r>
      <w:r w:rsidRPr="00340765">
        <w:rPr>
          <w:lang w:val="pt-BR"/>
        </w:rPr>
        <w:t>].</w:t>
      </w:r>
    </w:p>
    <w:p w14:paraId="75951970" w14:textId="77777777" w:rsidR="00340765" w:rsidRDefault="00340765" w:rsidP="00340765">
      <w:pPr>
        <w:numPr>
          <w:ilvl w:val="0"/>
          <w:numId w:val="1"/>
        </w:numPr>
        <w:spacing w:after="236" w:line="316" w:lineRule="auto"/>
        <w:ind w:right="15" w:hanging="234"/>
        <w:jc w:val="both"/>
      </w:pPr>
      <w:r w:rsidRPr="00340765">
        <w:rPr>
          <w:i/>
          <w:lang w:val="pt-BR"/>
        </w:rPr>
        <w:t xml:space="preserve">Religamentos - Black </w:t>
      </w:r>
      <w:proofErr w:type="gramStart"/>
      <w:r w:rsidRPr="00340765">
        <w:rPr>
          <w:i/>
          <w:lang w:val="pt-BR"/>
        </w:rPr>
        <w:t xml:space="preserve">Start </w:t>
      </w:r>
      <w:r w:rsidRPr="00340765">
        <w:rPr>
          <w:lang w:val="pt-BR"/>
        </w:rPr>
        <w:t>:</w:t>
      </w:r>
      <w:proofErr w:type="gramEnd"/>
      <w:r w:rsidRPr="00340765">
        <w:rPr>
          <w:lang w:val="pt-BR"/>
        </w:rPr>
        <w:t xml:space="preserve"> Após um desligamento da energia, um sistema de armazenamento de energia pode ser utilizado para reiniciar o sistema. </w:t>
      </w:r>
      <w:r>
        <w:t>[</w:t>
      </w:r>
      <w:r>
        <w:rPr>
          <w:color w:val="2905C3"/>
        </w:rPr>
        <w:t>96</w:t>
      </w:r>
      <w:r>
        <w:t>].</w:t>
      </w:r>
    </w:p>
    <w:p w14:paraId="73FDC649" w14:textId="77777777" w:rsidR="00340765" w:rsidRDefault="00340765" w:rsidP="00340765">
      <w:pPr>
        <w:numPr>
          <w:ilvl w:val="0"/>
          <w:numId w:val="1"/>
        </w:numPr>
        <w:spacing w:after="239" w:line="316" w:lineRule="auto"/>
        <w:ind w:right="15" w:hanging="234"/>
        <w:jc w:val="both"/>
      </w:pPr>
      <w:r w:rsidRPr="00340765">
        <w:rPr>
          <w:i/>
          <w:lang w:val="pt-BR"/>
        </w:rPr>
        <w:t xml:space="preserve">Congestionamento na </w:t>
      </w:r>
      <w:proofErr w:type="gramStart"/>
      <w:r w:rsidRPr="00340765">
        <w:rPr>
          <w:i/>
          <w:lang w:val="pt-BR"/>
        </w:rPr>
        <w:t xml:space="preserve">Transmissão </w:t>
      </w:r>
      <w:r w:rsidRPr="00340765">
        <w:rPr>
          <w:lang w:val="pt-BR"/>
        </w:rPr>
        <w:t>:</w:t>
      </w:r>
      <w:proofErr w:type="gramEnd"/>
      <w:r w:rsidRPr="00340765">
        <w:rPr>
          <w:lang w:val="pt-BR"/>
        </w:rPr>
        <w:t xml:space="preserve"> O congestionamento de linhas de transmissão ou distribuição ocorre quando a capacidade de transferência de potência é atingida. O uso de AE modifica os fluxos de potência no sistema e pode adiar a necessidade de investimentos. </w:t>
      </w:r>
      <w:r>
        <w:t>[</w:t>
      </w:r>
      <w:r>
        <w:rPr>
          <w:color w:val="2905C3"/>
        </w:rPr>
        <w:t>96</w:t>
      </w:r>
      <w:r>
        <w:t>].</w:t>
      </w:r>
    </w:p>
    <w:p w14:paraId="69ACCE3C" w14:textId="77777777" w:rsidR="00340765" w:rsidRDefault="00340765" w:rsidP="00340765">
      <w:pPr>
        <w:numPr>
          <w:ilvl w:val="0"/>
          <w:numId w:val="1"/>
        </w:numPr>
        <w:spacing w:after="239" w:line="316" w:lineRule="auto"/>
        <w:ind w:right="15" w:hanging="234"/>
        <w:jc w:val="both"/>
      </w:pPr>
      <w:r w:rsidRPr="00340765">
        <w:rPr>
          <w:i/>
          <w:lang w:val="pt-BR"/>
        </w:rPr>
        <w:lastRenderedPageBreak/>
        <w:t xml:space="preserve">Balanceamento de Geração </w:t>
      </w:r>
      <w:proofErr w:type="gramStart"/>
      <w:r w:rsidRPr="00340765">
        <w:rPr>
          <w:i/>
          <w:lang w:val="pt-BR"/>
        </w:rPr>
        <w:t xml:space="preserve">Renovável </w:t>
      </w:r>
      <w:r w:rsidRPr="00340765">
        <w:rPr>
          <w:lang w:val="pt-BR"/>
        </w:rPr>
        <w:t>:</w:t>
      </w:r>
      <w:proofErr w:type="gramEnd"/>
      <w:r w:rsidRPr="00340765">
        <w:rPr>
          <w:lang w:val="pt-BR"/>
        </w:rPr>
        <w:t xml:space="preserve"> A geração renovável fotovoltaica e eólica se caracterizam pela variabilidade e pela intermitência. Portanto, um sistema de armazenamento de energia poderia compensar essa variabilidade, de forma que o </w:t>
      </w:r>
      <w:proofErr w:type="spellStart"/>
      <w:proofErr w:type="gramStart"/>
      <w:r w:rsidRPr="00340765">
        <w:rPr>
          <w:lang w:val="pt-BR"/>
        </w:rPr>
        <w:t>conjunto“</w:t>
      </w:r>
      <w:proofErr w:type="gramEnd"/>
      <w:r w:rsidRPr="00340765">
        <w:rPr>
          <w:lang w:val="pt-BR"/>
        </w:rPr>
        <w:t>gerador</w:t>
      </w:r>
      <w:proofErr w:type="spellEnd"/>
      <w:r w:rsidRPr="00340765">
        <w:rPr>
          <w:lang w:val="pt-BR"/>
        </w:rPr>
        <w:t xml:space="preserve"> renovável-AE” é enxergado pelo sistema como um gerador melhor comportado, capaz de oferecer energia firme. </w:t>
      </w:r>
      <w:r>
        <w:t>[</w:t>
      </w:r>
      <w:r>
        <w:rPr>
          <w:color w:val="2905C3"/>
        </w:rPr>
        <w:t>101</w:t>
      </w:r>
      <w:r>
        <w:t>].</w:t>
      </w:r>
    </w:p>
    <w:p w14:paraId="2570CD68" w14:textId="77777777" w:rsidR="00340765" w:rsidRPr="00340765" w:rsidRDefault="00340765" w:rsidP="00340765">
      <w:pPr>
        <w:numPr>
          <w:ilvl w:val="0"/>
          <w:numId w:val="1"/>
        </w:numPr>
        <w:spacing w:after="43" w:line="274" w:lineRule="auto"/>
        <w:ind w:right="15" w:hanging="234"/>
        <w:jc w:val="both"/>
        <w:rPr>
          <w:lang w:val="pt-BR"/>
        </w:rPr>
      </w:pPr>
      <w:r w:rsidRPr="00340765">
        <w:rPr>
          <w:i/>
          <w:lang w:val="pt-BR"/>
        </w:rPr>
        <w:t xml:space="preserve">Qualidade de </w:t>
      </w:r>
      <w:proofErr w:type="gramStart"/>
      <w:r w:rsidRPr="00340765">
        <w:rPr>
          <w:i/>
          <w:lang w:val="pt-BR"/>
        </w:rPr>
        <w:t xml:space="preserve">Energia </w:t>
      </w:r>
      <w:r w:rsidRPr="00340765">
        <w:rPr>
          <w:lang w:val="pt-BR"/>
        </w:rPr>
        <w:t>:</w:t>
      </w:r>
      <w:proofErr w:type="gramEnd"/>
      <w:r w:rsidRPr="00340765">
        <w:rPr>
          <w:lang w:val="pt-BR"/>
        </w:rPr>
        <w:t xml:space="preserve"> A bateria inteligente pode atuar na mitigação das perturbações da rede, tais como os afundamentos de tensão. Ela pode, ainda, atuar na estabilidade transitória, estabilidade de tensão e amortecer oscilações de potência</w:t>
      </w:r>
    </w:p>
    <w:p w14:paraId="7384E10D" w14:textId="77777777" w:rsidR="00340765" w:rsidRDefault="00340765" w:rsidP="00340765">
      <w:pPr>
        <w:spacing w:after="305"/>
        <w:ind w:left="596" w:right="15"/>
      </w:pPr>
      <w:r>
        <w:t>[</w:t>
      </w:r>
      <w:r>
        <w:rPr>
          <w:color w:val="2905C3"/>
        </w:rPr>
        <w:t>96</w:t>
      </w:r>
      <w:r>
        <w:t>].</w:t>
      </w:r>
    </w:p>
    <w:p w14:paraId="4BBA9A7F" w14:textId="77777777" w:rsidR="00340765" w:rsidRPr="00340765" w:rsidRDefault="00340765" w:rsidP="00340765">
      <w:pPr>
        <w:numPr>
          <w:ilvl w:val="0"/>
          <w:numId w:val="1"/>
        </w:numPr>
        <w:spacing w:after="236" w:line="316" w:lineRule="auto"/>
        <w:ind w:right="15" w:hanging="234"/>
        <w:jc w:val="both"/>
        <w:rPr>
          <w:lang w:val="pt-BR"/>
        </w:rPr>
      </w:pPr>
      <w:r w:rsidRPr="00340765">
        <w:rPr>
          <w:i/>
          <w:lang w:val="pt-BR"/>
        </w:rPr>
        <w:t xml:space="preserve">Reserva de </w:t>
      </w:r>
      <w:proofErr w:type="gramStart"/>
      <w:r w:rsidRPr="00340765">
        <w:rPr>
          <w:i/>
          <w:lang w:val="pt-BR"/>
        </w:rPr>
        <w:t xml:space="preserve">Geração </w:t>
      </w:r>
      <w:r w:rsidRPr="00340765">
        <w:rPr>
          <w:lang w:val="pt-BR"/>
        </w:rPr>
        <w:t>:</w:t>
      </w:r>
      <w:proofErr w:type="gramEnd"/>
      <w:r w:rsidRPr="00340765">
        <w:rPr>
          <w:lang w:val="pt-BR"/>
        </w:rPr>
        <w:t xml:space="preserve"> Neste caso, o AE se comporta de forma semelhante a um gerador, fornecendo energia em um dado intervalo de tempo [</w:t>
      </w:r>
      <w:r w:rsidRPr="00340765">
        <w:rPr>
          <w:color w:val="2905C3"/>
          <w:lang w:val="pt-BR"/>
        </w:rPr>
        <w:t>96</w:t>
      </w:r>
      <w:r w:rsidRPr="00340765">
        <w:rPr>
          <w:lang w:val="pt-BR"/>
        </w:rPr>
        <w:t>].</w:t>
      </w:r>
    </w:p>
    <w:p w14:paraId="50C5CDD5" w14:textId="77777777" w:rsidR="00340765" w:rsidRPr="00340765" w:rsidRDefault="00340765" w:rsidP="00340765">
      <w:pPr>
        <w:numPr>
          <w:ilvl w:val="0"/>
          <w:numId w:val="1"/>
        </w:numPr>
        <w:spacing w:after="14" w:line="316" w:lineRule="auto"/>
        <w:ind w:right="15" w:hanging="234"/>
        <w:jc w:val="both"/>
        <w:rPr>
          <w:lang w:val="pt-BR"/>
        </w:rPr>
      </w:pPr>
      <w:r w:rsidRPr="00340765">
        <w:rPr>
          <w:i/>
          <w:lang w:val="pt-BR"/>
        </w:rPr>
        <w:t xml:space="preserve">Sistemas </w:t>
      </w:r>
      <w:proofErr w:type="gramStart"/>
      <w:r w:rsidRPr="00340765">
        <w:rPr>
          <w:i/>
          <w:lang w:val="pt-BR"/>
        </w:rPr>
        <w:t xml:space="preserve">Isolados </w:t>
      </w:r>
      <w:r w:rsidRPr="00340765">
        <w:rPr>
          <w:lang w:val="pt-BR"/>
        </w:rPr>
        <w:t>:</w:t>
      </w:r>
      <w:proofErr w:type="gramEnd"/>
      <w:r w:rsidRPr="00340765">
        <w:rPr>
          <w:lang w:val="pt-BR"/>
        </w:rPr>
        <w:t xml:space="preserve"> No modo ilhado de um sistema, o AE poderia ser tratado como uma UPS (</w:t>
      </w:r>
      <w:proofErr w:type="spellStart"/>
      <w:r w:rsidRPr="00340765">
        <w:rPr>
          <w:i/>
          <w:lang w:val="pt-BR"/>
        </w:rPr>
        <w:t>Uninterruptible</w:t>
      </w:r>
      <w:proofErr w:type="spellEnd"/>
      <w:r w:rsidRPr="00340765">
        <w:rPr>
          <w:i/>
          <w:lang w:val="pt-BR"/>
        </w:rPr>
        <w:t xml:space="preserve"> Power </w:t>
      </w:r>
      <w:proofErr w:type="spellStart"/>
      <w:r w:rsidRPr="00340765">
        <w:rPr>
          <w:i/>
          <w:lang w:val="pt-BR"/>
        </w:rPr>
        <w:t>Supply</w:t>
      </w:r>
      <w:proofErr w:type="spellEnd"/>
      <w:r w:rsidRPr="00340765">
        <w:rPr>
          <w:lang w:val="pt-BR"/>
        </w:rPr>
        <w:t>), permitindo a desconexão da rede elétrica</w:t>
      </w:r>
    </w:p>
    <w:p w14:paraId="4F763A19" w14:textId="77777777" w:rsidR="00340765" w:rsidRDefault="00340765" w:rsidP="00340765">
      <w:pPr>
        <w:ind w:left="596" w:right="15"/>
      </w:pPr>
      <w:r>
        <w:t>[</w:t>
      </w:r>
      <w:r>
        <w:rPr>
          <w:color w:val="2905C3"/>
        </w:rPr>
        <w:t>102</w:t>
      </w:r>
      <w:r>
        <w:t>].</w:t>
      </w:r>
    </w:p>
    <w:p w14:paraId="059FA322" w14:textId="77777777" w:rsidR="00340765" w:rsidRDefault="00340765" w:rsidP="00340765">
      <w:pPr>
        <w:numPr>
          <w:ilvl w:val="0"/>
          <w:numId w:val="1"/>
        </w:numPr>
        <w:spacing w:after="236" w:line="316" w:lineRule="auto"/>
        <w:ind w:right="15" w:hanging="234"/>
        <w:jc w:val="both"/>
      </w:pPr>
      <w:r w:rsidRPr="00340765">
        <w:rPr>
          <w:i/>
          <w:lang w:val="pt-BR"/>
        </w:rPr>
        <w:t xml:space="preserve">Correção do Fator de </w:t>
      </w:r>
      <w:proofErr w:type="gramStart"/>
      <w:r w:rsidRPr="00340765">
        <w:rPr>
          <w:i/>
          <w:lang w:val="pt-BR"/>
        </w:rPr>
        <w:t xml:space="preserve">Potência </w:t>
      </w:r>
      <w:r w:rsidRPr="00340765">
        <w:rPr>
          <w:lang w:val="pt-BR"/>
        </w:rPr>
        <w:t>:</w:t>
      </w:r>
      <w:proofErr w:type="gramEnd"/>
      <w:r w:rsidRPr="00340765">
        <w:rPr>
          <w:lang w:val="pt-BR"/>
        </w:rPr>
        <w:t xml:space="preserve"> O AE pode ser utilizado para corrigir o fator de potência em um ponto da rede devido à presença do inversor. </w:t>
      </w:r>
      <w:r>
        <w:t>[</w:t>
      </w:r>
      <w:r>
        <w:rPr>
          <w:color w:val="2905C3"/>
        </w:rPr>
        <w:t>103</w:t>
      </w:r>
      <w:r>
        <w:t>].</w:t>
      </w:r>
    </w:p>
    <w:p w14:paraId="5841FEDB" w14:textId="77777777" w:rsidR="00340765" w:rsidRPr="00340765" w:rsidRDefault="00340765" w:rsidP="00340765">
      <w:pPr>
        <w:numPr>
          <w:ilvl w:val="0"/>
          <w:numId w:val="1"/>
        </w:numPr>
        <w:spacing w:after="0" w:line="316" w:lineRule="auto"/>
        <w:ind w:right="15" w:hanging="234"/>
        <w:jc w:val="both"/>
        <w:rPr>
          <w:lang w:val="pt-BR"/>
        </w:rPr>
      </w:pPr>
      <w:r w:rsidRPr="00340765">
        <w:rPr>
          <w:i/>
          <w:lang w:val="pt-BR"/>
        </w:rPr>
        <w:t xml:space="preserve">Suporte </w:t>
      </w:r>
      <w:proofErr w:type="gramStart"/>
      <w:r w:rsidRPr="00340765">
        <w:rPr>
          <w:i/>
          <w:lang w:val="pt-BR"/>
        </w:rPr>
        <w:t>à ”rampa</w:t>
      </w:r>
      <w:proofErr w:type="gramEnd"/>
      <w:r w:rsidRPr="00340765">
        <w:rPr>
          <w:i/>
          <w:lang w:val="pt-BR"/>
        </w:rPr>
        <w:t xml:space="preserve">” </w:t>
      </w:r>
      <w:r w:rsidRPr="00340765">
        <w:rPr>
          <w:lang w:val="pt-BR"/>
        </w:rPr>
        <w:t>: Os requerimentos de rampa de geração ocorrem em momentos bem definidos, muitas vezes associados a eventos sociais. Porém, pode acontecer devido à geração solar fotovoltaica, já que o horário do final da tarde de saída da geração fotovoltaica coincide, muitas vezes, com o aumento da carga. Dessa forma, os requerimentos de rampa do sistema aumentam e o AE pode suprir essa demanda.</w:t>
      </w:r>
    </w:p>
    <w:p w14:paraId="76DAF78A" w14:textId="77777777" w:rsidR="00340765" w:rsidRDefault="00340765" w:rsidP="00340765">
      <w:pPr>
        <w:ind w:left="596" w:right="15"/>
      </w:pPr>
      <w:r>
        <w:t>[</w:t>
      </w:r>
      <w:r>
        <w:rPr>
          <w:color w:val="2905C3"/>
        </w:rPr>
        <w:t>104</w:t>
      </w:r>
      <w:r>
        <w:t>].</w:t>
      </w:r>
    </w:p>
    <w:p w14:paraId="111C335E" w14:textId="6634C260" w:rsidR="0099530F" w:rsidRDefault="0099530F"/>
    <w:p w14:paraId="1111DD3B" w14:textId="7560D9AD" w:rsidR="00340765" w:rsidRDefault="00340765"/>
    <w:p w14:paraId="1F8BB95C" w14:textId="7DE3BC80" w:rsidR="00340765" w:rsidRPr="00340765" w:rsidRDefault="00340765">
      <w:pPr>
        <w:rPr>
          <w:b/>
          <w:bCs/>
        </w:rPr>
      </w:pPr>
      <w:r w:rsidRPr="00340765">
        <w:rPr>
          <w:b/>
          <w:bCs/>
        </w:rPr>
        <w:t>Refs.</w:t>
      </w:r>
    </w:p>
    <w:p w14:paraId="50A9C5E5" w14:textId="77777777" w:rsidR="00340765" w:rsidRPr="00340765" w:rsidRDefault="00340765" w:rsidP="00340765">
      <w:pPr>
        <w:rPr>
          <w:lang w:val="pt-BR"/>
        </w:rPr>
      </w:pPr>
      <w:r>
        <w:t>95</w:t>
      </w:r>
      <w:r>
        <w:tab/>
        <w:t xml:space="preserve">LO, C. H.; ANDERSON, M. D. Economic dispatch and optimal sizing of battery energy storage systems in utility load-leveling operations. </w:t>
      </w:r>
      <w:r w:rsidRPr="00340765">
        <w:rPr>
          <w:lang w:val="pt-BR"/>
        </w:rPr>
        <w:t>IEEE Transactions on Energy Conversion, v. 14, n. 3, p. 824–829, 1999. Citado na página 51.</w:t>
      </w:r>
    </w:p>
    <w:p w14:paraId="1C19D01D" w14:textId="77777777" w:rsidR="00340765" w:rsidRDefault="00340765" w:rsidP="00340765">
      <w:r w:rsidRPr="00340765">
        <w:rPr>
          <w:lang w:val="pt-BR"/>
        </w:rPr>
        <w:t>96</w:t>
      </w:r>
      <w:r w:rsidRPr="00340765">
        <w:rPr>
          <w:lang w:val="pt-BR"/>
        </w:rPr>
        <w:tab/>
        <w:t xml:space="preserve">FERREIRA, H. L. et al. </w:t>
      </w:r>
      <w:proofErr w:type="spellStart"/>
      <w:r>
        <w:t>Characterisation</w:t>
      </w:r>
      <w:proofErr w:type="spellEnd"/>
      <w:r>
        <w:t xml:space="preserve"> of electrical energy storage technologies.</w:t>
      </w:r>
    </w:p>
    <w:p w14:paraId="2551ADEC" w14:textId="77777777" w:rsidR="00340765" w:rsidRPr="00340765" w:rsidRDefault="00340765" w:rsidP="00340765">
      <w:pPr>
        <w:rPr>
          <w:lang w:val="pt-BR"/>
        </w:rPr>
      </w:pPr>
      <w:r>
        <w:t xml:space="preserve">        </w:t>
      </w:r>
      <w:r w:rsidRPr="00340765">
        <w:rPr>
          <w:lang w:val="pt-BR"/>
        </w:rPr>
        <w:t>Energy, v. 53, p. 288 – 298, 2013. ISSN 0360-5442. Disponível em: &lt;http:</w:t>
      </w:r>
    </w:p>
    <w:p w14:paraId="4989F1DA" w14:textId="77777777" w:rsidR="00340765" w:rsidRDefault="00340765" w:rsidP="00340765">
      <w:r w:rsidRPr="00340765">
        <w:rPr>
          <w:lang w:val="pt-BR"/>
        </w:rPr>
        <w:t xml:space="preserve"> //www.sciencedirect.com/science/article/pii/S0360544213001515&gt;. </w:t>
      </w:r>
      <w:proofErr w:type="spellStart"/>
      <w:r>
        <w:t>Citado</w:t>
      </w:r>
      <w:proofErr w:type="spellEnd"/>
      <w:r>
        <w:t xml:space="preserve"> 2         </w:t>
      </w:r>
      <w:proofErr w:type="spellStart"/>
      <w:r>
        <w:t>vezes</w:t>
      </w:r>
      <w:proofErr w:type="spellEnd"/>
      <w:r>
        <w:t xml:space="preserve"> </w:t>
      </w:r>
      <w:proofErr w:type="spellStart"/>
      <w:r>
        <w:t>nas</w:t>
      </w:r>
      <w:proofErr w:type="spellEnd"/>
      <w:r>
        <w:t xml:space="preserve"> </w:t>
      </w:r>
      <w:proofErr w:type="spellStart"/>
      <w:r>
        <w:t>páginas</w:t>
      </w:r>
      <w:proofErr w:type="spellEnd"/>
      <w:r>
        <w:t xml:space="preserve"> 51 e 52.</w:t>
      </w:r>
    </w:p>
    <w:p w14:paraId="4C101E19" w14:textId="77777777" w:rsidR="00340765" w:rsidRDefault="00340765" w:rsidP="00340765">
      <w:r>
        <w:t>97</w:t>
      </w:r>
      <w:r>
        <w:tab/>
        <w:t>OUDALOV, A.; CHERKAOUI, R.; BEGUIN, A. Sizing and optimal operation of battery energy storage system for peak shaving application. In: 2007 IEEE Lausanne Power Tech. [</w:t>
      </w:r>
      <w:proofErr w:type="spellStart"/>
      <w:r>
        <w:t>S.l.</w:t>
      </w:r>
      <w:proofErr w:type="spellEnd"/>
      <w:r>
        <w:t xml:space="preserve">: </w:t>
      </w:r>
      <w:proofErr w:type="spellStart"/>
      <w:r>
        <w:t>s.n</w:t>
      </w:r>
      <w:proofErr w:type="spellEnd"/>
      <w:r>
        <w:t xml:space="preserve">.], 2007. p. 621–625. </w:t>
      </w:r>
      <w:proofErr w:type="spellStart"/>
      <w:r>
        <w:t>Citado</w:t>
      </w:r>
      <w:proofErr w:type="spellEnd"/>
      <w:r>
        <w:t xml:space="preserve"> </w:t>
      </w:r>
      <w:proofErr w:type="spellStart"/>
      <w:r>
        <w:t>na</w:t>
      </w:r>
      <w:proofErr w:type="spellEnd"/>
      <w:r>
        <w:t xml:space="preserve"> </w:t>
      </w:r>
      <w:proofErr w:type="spellStart"/>
      <w:r>
        <w:t>página</w:t>
      </w:r>
      <w:proofErr w:type="spellEnd"/>
      <w:r>
        <w:t xml:space="preserve"> 51.</w:t>
      </w:r>
    </w:p>
    <w:p w14:paraId="215F801F" w14:textId="77777777" w:rsidR="00340765" w:rsidRDefault="00340765" w:rsidP="00340765">
      <w:r>
        <w:t>98</w:t>
      </w:r>
      <w:r>
        <w:tab/>
        <w:t xml:space="preserve">KADRI, A.; RAAHEMIFAR, K. Optimal sizing and scheduling of battery storage system incorporated with </w:t>
      </w:r>
      <w:proofErr w:type="spellStart"/>
      <w:r>
        <w:t>pv</w:t>
      </w:r>
      <w:proofErr w:type="spellEnd"/>
      <w:r>
        <w:t xml:space="preserve"> for energy arbitrage in three different electricity markets.</w:t>
      </w:r>
    </w:p>
    <w:p w14:paraId="67C2F356" w14:textId="77777777" w:rsidR="00340765" w:rsidRPr="00340765" w:rsidRDefault="00340765" w:rsidP="00340765">
      <w:pPr>
        <w:rPr>
          <w:lang w:val="pt-BR"/>
        </w:rPr>
      </w:pPr>
      <w:r>
        <w:t xml:space="preserve">In: 2019 IEEE Canadian Conference of Electrical and Computer Engineering (CCECE).            </w:t>
      </w:r>
      <w:r w:rsidRPr="00340765">
        <w:rPr>
          <w:lang w:val="pt-BR"/>
        </w:rPr>
        <w:t>[S.l.: s.n.], 2019. p. 1–6. Citado 2 vezes nas páginas 52 e 79.</w:t>
      </w:r>
    </w:p>
    <w:p w14:paraId="3CFE0E6C" w14:textId="77777777" w:rsidR="00340765" w:rsidRPr="00340765" w:rsidRDefault="00340765" w:rsidP="00340765">
      <w:pPr>
        <w:rPr>
          <w:lang w:val="pt-BR"/>
        </w:rPr>
      </w:pPr>
      <w:r>
        <w:t>99</w:t>
      </w:r>
      <w:r>
        <w:tab/>
        <w:t xml:space="preserve">LAM, A. Y. S.; LEUNG, K.; LI, V. O. K. Capacity estimation for vehicle-to-grid frequency regulation services with smart charging mechanism. </w:t>
      </w:r>
      <w:r w:rsidRPr="00340765">
        <w:rPr>
          <w:lang w:val="pt-BR"/>
        </w:rPr>
        <w:t>IEEE Transactions on Smart Grid, v. 7, n. 1, p. 156–166, 2016. Citado na página 52.</w:t>
      </w:r>
    </w:p>
    <w:p w14:paraId="797C1973" w14:textId="77777777" w:rsidR="00340765" w:rsidRDefault="00340765" w:rsidP="00340765">
      <w:r>
        <w:t>100</w:t>
      </w:r>
      <w:r>
        <w:tab/>
        <w:t xml:space="preserve">YANG, Y. et al. Sizing strategy of distributed battery storage system with high penetration of photovoltaic for voltage regulation and peak load shaving. IEEE Transactions on Smart Grid, v. 5, n. 2, p. 982–991, March 2014. ISSN 1949-3061. </w:t>
      </w:r>
      <w:proofErr w:type="spellStart"/>
      <w:r>
        <w:t>Citado</w:t>
      </w:r>
      <w:proofErr w:type="spellEnd"/>
      <w:r>
        <w:t xml:space="preserve"> </w:t>
      </w:r>
      <w:proofErr w:type="spellStart"/>
      <w:r>
        <w:t>na</w:t>
      </w:r>
      <w:proofErr w:type="spellEnd"/>
      <w:r>
        <w:t xml:space="preserve"> </w:t>
      </w:r>
      <w:proofErr w:type="spellStart"/>
      <w:r>
        <w:t>página</w:t>
      </w:r>
      <w:proofErr w:type="spellEnd"/>
      <w:r>
        <w:t xml:space="preserve"> 52.</w:t>
      </w:r>
    </w:p>
    <w:p w14:paraId="28E95746" w14:textId="77777777" w:rsidR="00340765" w:rsidRDefault="00340765" w:rsidP="00340765">
      <w:r>
        <w:t>101</w:t>
      </w:r>
      <w:r>
        <w:tab/>
        <w:t xml:space="preserve">ELLIS, A. et al. </w:t>
      </w:r>
      <w:proofErr w:type="spellStart"/>
      <w:r>
        <w:t>Pv</w:t>
      </w:r>
      <w:proofErr w:type="spellEnd"/>
      <w:r>
        <w:t xml:space="preserve"> output smoothing with energy storage. In: 2012 38th IEEE Photovoltaic Specialists Conference. [</w:t>
      </w:r>
      <w:proofErr w:type="spellStart"/>
      <w:r>
        <w:t>S.l.</w:t>
      </w:r>
      <w:proofErr w:type="spellEnd"/>
      <w:r>
        <w:t xml:space="preserve">: </w:t>
      </w:r>
      <w:proofErr w:type="spellStart"/>
      <w:r>
        <w:t>s.n</w:t>
      </w:r>
      <w:proofErr w:type="spellEnd"/>
      <w:r>
        <w:t xml:space="preserve">.], 2012. p. 001523–001528. </w:t>
      </w:r>
      <w:proofErr w:type="spellStart"/>
      <w:r>
        <w:t>Citado</w:t>
      </w:r>
      <w:proofErr w:type="spellEnd"/>
      <w:r>
        <w:t xml:space="preserve"> </w:t>
      </w:r>
      <w:proofErr w:type="spellStart"/>
      <w:r>
        <w:t>na</w:t>
      </w:r>
      <w:proofErr w:type="spellEnd"/>
      <w:r>
        <w:t xml:space="preserve"> </w:t>
      </w:r>
      <w:proofErr w:type="spellStart"/>
      <w:r>
        <w:t>página</w:t>
      </w:r>
      <w:proofErr w:type="spellEnd"/>
      <w:r>
        <w:t xml:space="preserve"> 52.</w:t>
      </w:r>
    </w:p>
    <w:p w14:paraId="1AC5F412" w14:textId="77777777" w:rsidR="00340765" w:rsidRDefault="00340765" w:rsidP="00340765">
      <w:r>
        <w:t>102</w:t>
      </w:r>
      <w:r>
        <w:tab/>
        <w:t xml:space="preserve">DIVYA, K.; ØSTERGAARD, J. Battery energy storage technology for power systems—an overview. Electric Power Systems Research, v. 79, n. 4, p. 511 – 520, 2009. ISSN 0378-7796. </w:t>
      </w:r>
      <w:proofErr w:type="spellStart"/>
      <w:r>
        <w:t>Disponível</w:t>
      </w:r>
      <w:proofErr w:type="spellEnd"/>
      <w:r>
        <w:t xml:space="preserve"> </w:t>
      </w:r>
      <w:proofErr w:type="spellStart"/>
      <w:r>
        <w:t>em</w:t>
      </w:r>
      <w:proofErr w:type="spellEnd"/>
      <w:r>
        <w:t xml:space="preserve">: &lt;http://www.sciencedirect.com/science/article/pii/ S0378779608002642&gt;. </w:t>
      </w:r>
      <w:proofErr w:type="spellStart"/>
      <w:r>
        <w:t>Citado</w:t>
      </w:r>
      <w:proofErr w:type="spellEnd"/>
      <w:r>
        <w:t xml:space="preserve"> </w:t>
      </w:r>
      <w:proofErr w:type="spellStart"/>
      <w:r>
        <w:t>na</w:t>
      </w:r>
      <w:proofErr w:type="spellEnd"/>
      <w:r>
        <w:t xml:space="preserve"> </w:t>
      </w:r>
      <w:proofErr w:type="spellStart"/>
      <w:r>
        <w:t>página</w:t>
      </w:r>
      <w:proofErr w:type="spellEnd"/>
      <w:r>
        <w:t xml:space="preserve"> 52.</w:t>
      </w:r>
    </w:p>
    <w:p w14:paraId="37310FA3" w14:textId="77777777" w:rsidR="00340765" w:rsidRDefault="00340765" w:rsidP="00340765">
      <w:r>
        <w:t>103</w:t>
      </w:r>
      <w:r>
        <w:tab/>
        <w:t>BEHERA, M. P.; RAY, P. K.; BENG, G. H. Three-phase shunt connected photovoltaic generator for harmonic and reactive power compensation with battery energy storage device. In: IECON 2016 - 42nd Annual Conference of the IEEE Industrial Electronics Society. [</w:t>
      </w:r>
      <w:proofErr w:type="spellStart"/>
      <w:r>
        <w:t>S.l.</w:t>
      </w:r>
      <w:proofErr w:type="spellEnd"/>
      <w:r>
        <w:t xml:space="preserve">: </w:t>
      </w:r>
      <w:proofErr w:type="spellStart"/>
      <w:r>
        <w:t>s.n</w:t>
      </w:r>
      <w:proofErr w:type="spellEnd"/>
      <w:r>
        <w:t xml:space="preserve">.], 2016. p. 2408–2413. </w:t>
      </w:r>
      <w:proofErr w:type="spellStart"/>
      <w:r>
        <w:t>Citado</w:t>
      </w:r>
      <w:proofErr w:type="spellEnd"/>
      <w:r>
        <w:t xml:space="preserve"> </w:t>
      </w:r>
      <w:proofErr w:type="spellStart"/>
      <w:r>
        <w:t>na</w:t>
      </w:r>
      <w:proofErr w:type="spellEnd"/>
      <w:r>
        <w:t xml:space="preserve"> </w:t>
      </w:r>
      <w:proofErr w:type="spellStart"/>
      <w:r>
        <w:t>página</w:t>
      </w:r>
      <w:proofErr w:type="spellEnd"/>
      <w:r>
        <w:t xml:space="preserve"> 53.</w:t>
      </w:r>
    </w:p>
    <w:p w14:paraId="24C3808C" w14:textId="7031A36C" w:rsidR="00340765" w:rsidRDefault="00340765" w:rsidP="00340765">
      <w:r>
        <w:t>104</w:t>
      </w:r>
      <w:r>
        <w:tab/>
        <w:t xml:space="preserve">HAAREN, R. van; MORJARIA, M.; FTHENAKIS, V. An energy storage algorithm for ramp rate control of utility scale </w:t>
      </w:r>
      <w:proofErr w:type="spellStart"/>
      <w:r>
        <w:t>pv</w:t>
      </w:r>
      <w:proofErr w:type="spellEnd"/>
      <w:r>
        <w:t xml:space="preserve"> (photovoltaics) plants. </w:t>
      </w:r>
      <w:r w:rsidRPr="00340765">
        <w:rPr>
          <w:lang w:val="pt-BR"/>
        </w:rPr>
        <w:t xml:space="preserve">Energy, v. 91, p. 894 – 902, 2015. ISSN 0360-5442. Disponível em: &lt;http://www.sciencedirect.com/science/ article/pii/S0360544215011573&gt;. </w:t>
      </w:r>
      <w:proofErr w:type="spellStart"/>
      <w:r>
        <w:t>Citado</w:t>
      </w:r>
      <w:proofErr w:type="spellEnd"/>
      <w:r>
        <w:t xml:space="preserve"> </w:t>
      </w:r>
      <w:proofErr w:type="spellStart"/>
      <w:r>
        <w:t>na</w:t>
      </w:r>
      <w:proofErr w:type="spellEnd"/>
      <w:r>
        <w:t xml:space="preserve"> </w:t>
      </w:r>
      <w:proofErr w:type="spellStart"/>
      <w:r>
        <w:t>página</w:t>
      </w:r>
      <w:proofErr w:type="spellEnd"/>
      <w:r>
        <w:t xml:space="preserve"> 53.</w:t>
      </w:r>
    </w:p>
    <w:sectPr w:rsidR="00340765" w:rsidSect="0034076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30328"/>
    <w:multiLevelType w:val="hybridMultilevel"/>
    <w:tmpl w:val="9F84FC34"/>
    <w:lvl w:ilvl="0" w:tplc="EC02A2EA">
      <w:start w:val="1"/>
      <w:numFmt w:val="bullet"/>
      <w:lvlText w:val="•"/>
      <w:lvlJc w:val="left"/>
      <w:pPr>
        <w:ind w:left="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58E792">
      <w:start w:val="1"/>
      <w:numFmt w:val="bullet"/>
      <w:lvlText w:val="o"/>
      <w:lvlJc w:val="left"/>
      <w:pPr>
        <w:ind w:left="1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5A8D56">
      <w:start w:val="1"/>
      <w:numFmt w:val="bullet"/>
      <w:lvlText w:val="▪"/>
      <w:lvlJc w:val="left"/>
      <w:pPr>
        <w:ind w:left="1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1051C4">
      <w:start w:val="1"/>
      <w:numFmt w:val="bullet"/>
      <w:lvlText w:val="•"/>
      <w:lvlJc w:val="left"/>
      <w:pPr>
        <w:ind w:left="2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56E67E">
      <w:start w:val="1"/>
      <w:numFmt w:val="bullet"/>
      <w:lvlText w:val="o"/>
      <w:lvlJc w:val="left"/>
      <w:pPr>
        <w:ind w:left="3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AA0A62">
      <w:start w:val="1"/>
      <w:numFmt w:val="bullet"/>
      <w:lvlText w:val="▪"/>
      <w:lvlJc w:val="left"/>
      <w:pPr>
        <w:ind w:left="4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325500">
      <w:start w:val="1"/>
      <w:numFmt w:val="bullet"/>
      <w:lvlText w:val="•"/>
      <w:lvlJc w:val="left"/>
      <w:pPr>
        <w:ind w:left="4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D2BEA4">
      <w:start w:val="1"/>
      <w:numFmt w:val="bullet"/>
      <w:lvlText w:val="o"/>
      <w:lvlJc w:val="left"/>
      <w:pPr>
        <w:ind w:left="5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B828E4">
      <w:start w:val="1"/>
      <w:numFmt w:val="bullet"/>
      <w:lvlText w:val="▪"/>
      <w:lvlJc w:val="left"/>
      <w:pPr>
        <w:ind w:left="6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1425D1"/>
    <w:multiLevelType w:val="multilevel"/>
    <w:tmpl w:val="E1CAC548"/>
    <w:lvl w:ilvl="0">
      <w:start w:val="1"/>
      <w:numFmt w:val="decimal"/>
      <w:pStyle w:val="Ttulo1"/>
      <w:lvlText w:val="%1"/>
      <w:lvlJc w:val="left"/>
      <w:pPr>
        <w:ind w:left="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65"/>
    <w:rsid w:val="00020908"/>
    <w:rsid w:val="00340765"/>
    <w:rsid w:val="00356E1E"/>
    <w:rsid w:val="00474AD0"/>
    <w:rsid w:val="00856484"/>
    <w:rsid w:val="008B2946"/>
    <w:rsid w:val="0099530F"/>
    <w:rsid w:val="009D64BE"/>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9805"/>
  <w15:chartTrackingRefBased/>
  <w15:docId w15:val="{5AB73F23-0C49-471D-AFA6-ACBE47AB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har"/>
    <w:uiPriority w:val="9"/>
    <w:unhideWhenUsed/>
    <w:qFormat/>
    <w:rsid w:val="00340765"/>
    <w:pPr>
      <w:keepNext/>
      <w:keepLines/>
      <w:numPr>
        <w:numId w:val="2"/>
      </w:numPr>
      <w:spacing w:after="854" w:line="265" w:lineRule="auto"/>
      <w:ind w:left="10" w:right="25" w:hanging="10"/>
      <w:outlineLvl w:val="0"/>
    </w:pPr>
    <w:rPr>
      <w:rFonts w:ascii="Calibri" w:eastAsia="Calibri" w:hAnsi="Calibri" w:cs="Calibri"/>
      <w:color w:val="000000"/>
      <w:sz w:val="50"/>
      <w:lang w:val="pt-BR" w:eastAsia="pt-BR"/>
    </w:rPr>
  </w:style>
  <w:style w:type="paragraph" w:styleId="Ttulo2">
    <w:name w:val="heading 2"/>
    <w:next w:val="Normal"/>
    <w:link w:val="Ttulo2Char"/>
    <w:uiPriority w:val="9"/>
    <w:unhideWhenUsed/>
    <w:qFormat/>
    <w:rsid w:val="00340765"/>
    <w:pPr>
      <w:keepNext/>
      <w:keepLines/>
      <w:numPr>
        <w:ilvl w:val="1"/>
        <w:numId w:val="2"/>
      </w:numPr>
      <w:spacing w:after="271"/>
      <w:ind w:left="36" w:hanging="10"/>
      <w:outlineLvl w:val="1"/>
    </w:pPr>
    <w:rPr>
      <w:rFonts w:ascii="Calibri" w:eastAsia="Calibri" w:hAnsi="Calibri" w:cs="Calibri"/>
      <w:color w:val="000000"/>
      <w:sz w:val="34"/>
      <w:lang w:val="pt-BR" w:eastAsia="pt-BR"/>
    </w:rPr>
  </w:style>
  <w:style w:type="paragraph" w:styleId="Ttulo3">
    <w:name w:val="heading 3"/>
    <w:next w:val="Normal"/>
    <w:link w:val="Ttulo3Char"/>
    <w:uiPriority w:val="9"/>
    <w:unhideWhenUsed/>
    <w:qFormat/>
    <w:rsid w:val="00340765"/>
    <w:pPr>
      <w:keepNext/>
      <w:keepLines/>
      <w:numPr>
        <w:ilvl w:val="2"/>
        <w:numId w:val="2"/>
      </w:numPr>
      <w:spacing w:after="262"/>
      <w:ind w:left="10" w:right="25" w:hanging="10"/>
      <w:outlineLvl w:val="2"/>
    </w:pPr>
    <w:rPr>
      <w:rFonts w:ascii="Calibri" w:eastAsia="Calibri" w:hAnsi="Calibri" w:cs="Calibri"/>
      <w:color w:val="000000"/>
      <w:sz w:val="29"/>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0765"/>
    <w:rPr>
      <w:rFonts w:ascii="Calibri" w:eastAsia="Calibri" w:hAnsi="Calibri" w:cs="Calibri"/>
      <w:color w:val="000000"/>
      <w:sz w:val="50"/>
      <w:lang w:val="pt-BR" w:eastAsia="pt-BR"/>
    </w:rPr>
  </w:style>
  <w:style w:type="character" w:customStyle="1" w:styleId="Ttulo2Char">
    <w:name w:val="Título 2 Char"/>
    <w:basedOn w:val="Fontepargpadro"/>
    <w:link w:val="Ttulo2"/>
    <w:uiPriority w:val="9"/>
    <w:rsid w:val="00340765"/>
    <w:rPr>
      <w:rFonts w:ascii="Calibri" w:eastAsia="Calibri" w:hAnsi="Calibri" w:cs="Calibri"/>
      <w:color w:val="000000"/>
      <w:sz w:val="34"/>
      <w:lang w:val="pt-BR" w:eastAsia="pt-BR"/>
    </w:rPr>
  </w:style>
  <w:style w:type="character" w:customStyle="1" w:styleId="Ttulo3Char">
    <w:name w:val="Título 3 Char"/>
    <w:basedOn w:val="Fontepargpadro"/>
    <w:link w:val="Ttulo3"/>
    <w:uiPriority w:val="9"/>
    <w:rsid w:val="00340765"/>
    <w:rPr>
      <w:rFonts w:ascii="Calibri" w:eastAsia="Calibri" w:hAnsi="Calibri" w:cs="Calibri"/>
      <w:color w:val="000000"/>
      <w:sz w:val="29"/>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Brandao</dc:creator>
  <cp:keywords/>
  <dc:description/>
  <cp:lastModifiedBy>Danilo Brandao</cp:lastModifiedBy>
  <cp:revision>1</cp:revision>
  <dcterms:created xsi:type="dcterms:W3CDTF">2020-11-26T12:34:00Z</dcterms:created>
  <dcterms:modified xsi:type="dcterms:W3CDTF">2020-11-26T12:36:00Z</dcterms:modified>
</cp:coreProperties>
</file>