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70"/>
      </w:pPr>
      <w:r>
        <w:drawing>
          <wp:inline distT="0" distB="0" distL="0" distR="0">
            <wp:extent cx="1257300" cy="638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257300" cy="638175"/>
                    </a:xfrm>
                    <a:prstGeom prst="rect">
                      <a:avLst/>
                    </a:prstGeom>
                  </pic:spPr>
                </pic:pic>
              </a:graphicData>
            </a:graphic>
          </wp:inline>
        </w:drawing>
      </w:r>
    </w:p>
    <w:p>
      <w:pPr>
        <w:spacing w:after="20"/>
      </w:pPr>
      <w:r>
        <w:rPr>
          <w:rFonts w:ascii="Arial" w:cs="Arial" w:eastAsia="Arial" w:hAnsi="Arial"/>
          <w:color w:val="595959"/>
          <w:sz w:val="15"/>
          <w:szCs w:val="15"/>
        </w:rPr>
        <w:t xml:space="preserve">CODAFRIQA LTD   |   Company Registration / TIN: 155397275</w:t>
      </w:r>
    </w:p>
    <w:p>
      <w:pPr>
        <w:spacing w:after="20"/>
      </w:pPr>
      <w:r>
        <w:rPr>
          <w:rFonts w:ascii="Arial" w:cs="Arial" w:eastAsia="Arial" w:hAnsi="Arial"/>
          <w:color w:val="595959"/>
          <w:sz w:val="15"/>
          <w:szCs w:val="15"/>
        </w:rPr>
        <w:t xml:space="preserve">Kimironko, Gasabo District, Kigali City, Republic of Rwanda</w:t>
      </w:r>
    </w:p>
    <w:p>
      <w:pPr>
        <w:pBdr>
          <w:bottom w:val="single" w:color="D20D1D" w:sz="8" w:space="9"/>
        </w:pBdr>
        <w:spacing w:after="0"/>
      </w:pPr>
      <w:r>
        <w:rPr>
          <w:rFonts w:ascii="Arial" w:cs="Arial" w:eastAsia="Arial" w:hAnsi="Arial"/>
          <w:color w:val="595959"/>
          <w:sz w:val="15"/>
          <w:szCs w:val="15"/>
        </w:rPr>
        <w:t xml:space="preserve">Tel: +250 786 221 394   |   info@codafriqa.rw   |   www.codafriqa.rw</w:t>
      </w:r>
    </w:p>
    <w:p>
      <w:pPr>
        <w:spacing w:after="60" w:before="320"/>
      </w:pPr>
      <w:r>
        <w:rPr>
          <w:rFonts w:ascii="Arial" w:cs="Arial" w:eastAsia="Arial" w:hAnsi="Arial"/>
          <w:b/>
          <w:bCs/>
          <w:color w:val="A6111E"/>
          <w:sz w:val="26"/>
          <w:szCs w:val="26"/>
        </w:rPr>
        <w:t xml:space="preserve">Venttly — Privacy Policy</w:t>
      </w:r>
    </w:p>
    <w:p>
      <w:pPr>
        <w:spacing w:after="40"/>
      </w:pPr>
      <w:r>
        <w:rPr>
          <w:rFonts w:ascii="Times New Roman" w:cs="Times New Roman" w:eastAsia="Times New Roman" w:hAnsi="Times New Roman"/>
          <w:i/>
          <w:iCs/>
          <w:color w:val="595959"/>
          <w:sz w:val="21"/>
          <w:szCs w:val="21"/>
        </w:rPr>
        <w:t xml:space="preserve">How CODAFRIQA LTD processes personal data on the Venttly platform</w:t>
      </w:r>
    </w:p>
    <w:p>
      <w:pPr>
        <w:pBdr>
          <w:bottom w:val="single" w:color="D20D1D" w:sz="4" w:space="8"/>
        </w:pBdr>
        <w:spacing w:after="260"/>
      </w:pPr>
      <w:r>
        <w:rPr>
          <w:rFonts w:ascii="Arial" w:cs="Arial" w:eastAsia="Arial" w:hAnsi="Arial"/>
          <w:color w:val="595959"/>
          <w:sz w:val="15"/>
          <w:szCs w:val="15"/>
        </w:rPr>
        <w:t xml:space="preserve">Version 1.0   |   Effective [EFFECTIVE DATE]   |   Data Controller: CODAFRIQA LTD, Kigali, Rwanda</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26%"/>
            <w:tcBorders>
              <w:top w:val="none" w:color="FFFFFF" w:sz="0"/>
              <w:left w:val="none" w:color="FFFFFF" w:sz="0"/>
              <w:bottom w:val="none" w:color="FFFFFF" w:sz="0"/>
              <w:right w:val="none" w:color="FFFFFF" w:sz="0"/>
            </w:tcBorders>
            <w:tcMar>
              <w:top w:type="dxa" w:w="28"/>
              <w:bottom w:type="dxa" w:w="28"/>
              <w:right w:type="dxa" w:w="220"/>
            </w:tcMar>
          </w:tcPr>
          <w:p>
            <w:pPr>
              <w:spacing w:after="0" w:line="265"/>
            </w:pPr>
            <w:r>
              <w:rPr>
                <w:rFonts w:ascii="Arial" w:cs="Arial" w:eastAsia="Arial" w:hAnsi="Arial"/>
                <w:color w:val="595959"/>
                <w:sz w:val="16"/>
                <w:szCs w:val="16"/>
              </w:rPr>
              <w:t xml:space="preserve">Service</w:t>
            </w:r>
          </w:p>
        </w:tc>
        <w:tc>
          <w:tcPr>
            <w:tcW w:type="pct" w:w="74%"/>
            <w:tcBorders>
              <w:top w:val="none" w:color="FFFFFF" w:sz="0"/>
              <w:left w:val="none" w:color="FFFFFF" w:sz="0"/>
              <w:bottom w:val="none" w:color="FFFFFF" w:sz="0"/>
              <w:right w:val="none" w:color="FFFFFF" w:sz="0"/>
            </w:tcBorders>
            <w:tcMar>
              <w:top w:type="dxa" w:w="28"/>
              <w:bottom w:type="dxa" w:w="28"/>
            </w:tcMar>
          </w:tcPr>
          <w:p>
            <w:pPr>
              <w:spacing w:after="0" w:line="265"/>
            </w:pPr>
            <w:r>
              <w:rPr>
                <w:rFonts w:ascii="Times New Roman" w:cs="Times New Roman" w:eastAsia="Times New Roman" w:hAnsi="Times New Roman"/>
                <w:sz w:val="20"/>
                <w:szCs w:val="20"/>
              </w:rPr>
              <w:t xml:space="preserve">Venttly</w:t>
            </w:r>
          </w:p>
        </w:tc>
      </w:tr>
      <w:tr>
        <w:tc>
          <w:tcPr>
            <w:tcW w:type="pct" w:w="26%"/>
            <w:tcBorders>
              <w:top w:val="none" w:color="FFFFFF" w:sz="0"/>
              <w:left w:val="none" w:color="FFFFFF" w:sz="0"/>
              <w:bottom w:val="none" w:color="FFFFFF" w:sz="0"/>
              <w:right w:val="none" w:color="FFFFFF" w:sz="0"/>
            </w:tcBorders>
            <w:tcMar>
              <w:top w:type="dxa" w:w="28"/>
              <w:bottom w:type="dxa" w:w="28"/>
              <w:right w:type="dxa" w:w="220"/>
            </w:tcMar>
          </w:tcPr>
          <w:p>
            <w:pPr>
              <w:spacing w:after="0" w:line="265"/>
            </w:pPr>
            <w:r>
              <w:rPr>
                <w:rFonts w:ascii="Arial" w:cs="Arial" w:eastAsia="Arial" w:hAnsi="Arial"/>
                <w:color w:val="595959"/>
                <w:sz w:val="16"/>
                <w:szCs w:val="16"/>
              </w:rPr>
              <w:t xml:space="preserve">Data Controller</w:t>
            </w:r>
          </w:p>
        </w:tc>
        <w:tc>
          <w:tcPr>
            <w:tcW w:type="pct" w:w="74%"/>
            <w:tcBorders>
              <w:top w:val="none" w:color="FFFFFF" w:sz="0"/>
              <w:left w:val="none" w:color="FFFFFF" w:sz="0"/>
              <w:bottom w:val="none" w:color="FFFFFF" w:sz="0"/>
              <w:right w:val="none" w:color="FFFFFF" w:sz="0"/>
            </w:tcBorders>
            <w:tcMar>
              <w:top w:type="dxa" w:w="28"/>
              <w:bottom w:type="dxa" w:w="28"/>
            </w:tcMar>
          </w:tcPr>
          <w:p>
            <w:pPr>
              <w:spacing w:after="0" w:line="265"/>
            </w:pPr>
            <w:r>
              <w:rPr>
                <w:rFonts w:ascii="Times New Roman" w:cs="Times New Roman" w:eastAsia="Times New Roman" w:hAnsi="Times New Roman"/>
                <w:sz w:val="20"/>
                <w:szCs w:val="20"/>
              </w:rPr>
              <w:t xml:space="preserve">CODAFRIQA LTD, Kigali, Rwanda (Company Code / TIN 155397275)</w:t>
            </w:r>
          </w:p>
        </w:tc>
      </w:tr>
      <w:tr>
        <w:tc>
          <w:tcPr>
            <w:tcW w:type="pct" w:w="26%"/>
            <w:tcBorders>
              <w:top w:val="none" w:color="FFFFFF" w:sz="0"/>
              <w:left w:val="none" w:color="FFFFFF" w:sz="0"/>
              <w:bottom w:val="none" w:color="FFFFFF" w:sz="0"/>
              <w:right w:val="none" w:color="FFFFFF" w:sz="0"/>
            </w:tcBorders>
            <w:tcMar>
              <w:top w:type="dxa" w:w="28"/>
              <w:bottom w:type="dxa" w:w="28"/>
              <w:right w:type="dxa" w:w="220"/>
            </w:tcMar>
          </w:tcPr>
          <w:p>
            <w:pPr>
              <w:spacing w:after="0" w:line="265"/>
            </w:pPr>
            <w:r>
              <w:rPr>
                <w:rFonts w:ascii="Arial" w:cs="Arial" w:eastAsia="Arial" w:hAnsi="Arial"/>
                <w:color w:val="595959"/>
                <w:sz w:val="16"/>
                <w:szCs w:val="16"/>
              </w:rPr>
              <w:t xml:space="preserve">Document</w:t>
            </w:r>
          </w:p>
        </w:tc>
        <w:tc>
          <w:tcPr>
            <w:tcW w:type="pct" w:w="74%"/>
            <w:tcBorders>
              <w:top w:val="none" w:color="FFFFFF" w:sz="0"/>
              <w:left w:val="none" w:color="FFFFFF" w:sz="0"/>
              <w:bottom w:val="none" w:color="FFFFFF" w:sz="0"/>
              <w:right w:val="none" w:color="FFFFFF" w:sz="0"/>
            </w:tcBorders>
            <w:tcMar>
              <w:top w:type="dxa" w:w="28"/>
              <w:bottom w:type="dxa" w:w="28"/>
            </w:tcMar>
          </w:tcPr>
          <w:p>
            <w:pPr>
              <w:spacing w:after="0" w:line="265"/>
            </w:pPr>
            <w:r>
              <w:rPr>
                <w:rFonts w:ascii="Times New Roman" w:cs="Times New Roman" w:eastAsia="Times New Roman" w:hAnsi="Times New Roman"/>
                <w:sz w:val="20"/>
                <w:szCs w:val="20"/>
              </w:rPr>
              <w:t xml:space="preserve">Privacy Policy, Version 1.0</w:t>
            </w:r>
          </w:p>
        </w:tc>
      </w:tr>
      <w:tr>
        <w:tc>
          <w:tcPr>
            <w:tcW w:type="pct" w:w="26%"/>
            <w:tcBorders>
              <w:top w:val="none" w:color="FFFFFF" w:sz="0"/>
              <w:left w:val="none" w:color="FFFFFF" w:sz="0"/>
              <w:bottom w:val="none" w:color="FFFFFF" w:sz="0"/>
              <w:right w:val="none" w:color="FFFFFF" w:sz="0"/>
            </w:tcBorders>
            <w:tcMar>
              <w:top w:type="dxa" w:w="28"/>
              <w:bottom w:type="dxa" w:w="28"/>
              <w:right w:type="dxa" w:w="220"/>
            </w:tcMar>
          </w:tcPr>
          <w:p>
            <w:pPr>
              <w:spacing w:after="0" w:line="265"/>
            </w:pPr>
            <w:r>
              <w:rPr>
                <w:rFonts w:ascii="Arial" w:cs="Arial" w:eastAsia="Arial" w:hAnsi="Arial"/>
                <w:color w:val="595959"/>
                <w:sz w:val="16"/>
                <w:szCs w:val="16"/>
              </w:rPr>
              <w:t xml:space="preserve">Effective date</w:t>
            </w:r>
          </w:p>
        </w:tc>
        <w:tc>
          <w:tcPr>
            <w:tcW w:type="pct" w:w="74%"/>
            <w:tcBorders>
              <w:top w:val="none" w:color="FFFFFF" w:sz="0"/>
              <w:left w:val="none" w:color="FFFFFF" w:sz="0"/>
              <w:bottom w:val="none" w:color="FFFFFF" w:sz="0"/>
              <w:right w:val="none" w:color="FFFFFF" w:sz="0"/>
            </w:tcBorders>
            <w:tcMar>
              <w:top w:type="dxa" w:w="28"/>
              <w:bottom w:type="dxa" w:w="28"/>
            </w:tcMar>
          </w:tcPr>
          <w:p>
            <w:pPr>
              <w:spacing w:after="0" w:line="265"/>
            </w:pPr>
            <w:r>
              <w:rPr>
                <w:rFonts w:ascii="Times New Roman" w:cs="Times New Roman" w:eastAsia="Times New Roman" w:hAnsi="Times New Roman"/>
                <w:sz w:val="20"/>
                <w:szCs w:val="20"/>
              </w:rPr>
              <w:t xml:space="preserve">[EFFECTIVE DATE]</w:t>
            </w:r>
          </w:p>
        </w:tc>
      </w:tr>
      <w:tr>
        <w:tc>
          <w:tcPr>
            <w:tcW w:type="pct" w:w="26%"/>
            <w:tcBorders>
              <w:top w:val="none" w:color="FFFFFF" w:sz="0"/>
              <w:left w:val="none" w:color="FFFFFF" w:sz="0"/>
              <w:bottom w:val="none" w:color="FFFFFF" w:sz="0"/>
              <w:right w:val="none" w:color="FFFFFF" w:sz="0"/>
            </w:tcBorders>
            <w:tcMar>
              <w:top w:type="dxa" w:w="28"/>
              <w:bottom w:type="dxa" w:w="28"/>
              <w:right w:type="dxa" w:w="220"/>
            </w:tcMar>
          </w:tcPr>
          <w:p>
            <w:pPr>
              <w:spacing w:after="0" w:line="265"/>
            </w:pPr>
            <w:r>
              <w:rPr>
                <w:rFonts w:ascii="Arial" w:cs="Arial" w:eastAsia="Arial" w:hAnsi="Arial"/>
                <w:color w:val="595959"/>
                <w:sz w:val="16"/>
                <w:szCs w:val="16"/>
              </w:rPr>
              <w:t xml:space="preserve">Governing framework</w:t>
            </w:r>
          </w:p>
        </w:tc>
        <w:tc>
          <w:tcPr>
            <w:tcW w:type="pct" w:w="74%"/>
            <w:tcBorders>
              <w:top w:val="none" w:color="FFFFFF" w:sz="0"/>
              <w:left w:val="none" w:color="FFFFFF" w:sz="0"/>
              <w:bottom w:val="none" w:color="FFFFFF" w:sz="0"/>
              <w:right w:val="none" w:color="FFFFFF" w:sz="0"/>
            </w:tcBorders>
            <w:tcMar>
              <w:top w:type="dxa" w:w="28"/>
              <w:bottom w:type="dxa" w:w="28"/>
            </w:tcMar>
          </w:tcPr>
          <w:p>
            <w:pPr>
              <w:spacing w:after="0" w:line="265"/>
            </w:pPr>
            <w:r>
              <w:rPr>
                <w:rFonts w:ascii="Times New Roman" w:cs="Times New Roman" w:eastAsia="Times New Roman" w:hAnsi="Times New Roman"/>
                <w:sz w:val="20"/>
                <w:szCs w:val="20"/>
              </w:rPr>
              <w:t xml:space="preserve">Law N° 058/2021 of 13 October 2021 on the protection of personal data and privacy</w:t>
            </w:r>
          </w:p>
        </w:tc>
      </w:tr>
    </w:tbl>
    <w:p>
      <w:pPr>
        <w:spacing w:after="180"/>
      </w:pPr>
    </w:p>
    <w:p>
      <w:pPr>
        <w:spacing w:after="120" w:line="285"/>
        <w:jc w:val="both"/>
      </w:pPr>
      <w:r>
        <w:rPr>
          <w:rFonts w:ascii="Times New Roman" w:cs="Times New Roman" w:eastAsia="Times New Roman" w:hAnsi="Times New Roman"/>
          <w:sz w:val="20"/>
          <w:szCs w:val="20"/>
        </w:rPr>
        <w:t xml:space="preserve">This Privacy Policy explains how CODAFRIQA LTD, acting as Data Controller for Venttly, collects, uses, stores, shares, protects and otherwise processes personal data when you use Venttly.</w:t>
      </w:r>
    </w:p>
    <w:p>
      <w:pPr>
        <w:spacing w:after="120" w:line="285"/>
        <w:jc w:val="both"/>
      </w:pPr>
      <w:r>
        <w:rPr>
          <w:rFonts w:ascii="Times New Roman" w:cs="Times New Roman" w:eastAsia="Times New Roman" w:hAnsi="Times New Roman"/>
          <w:sz w:val="20"/>
          <w:szCs w:val="20"/>
        </w:rPr>
        <w:t xml:space="preserve">It is written principally around Law N° 058/2021 of 13 October 2021 relating to the protection of personal data and privacy (the “DPP Law”), which is the governing framework in Rwanda, together with other applicable law.</w:t>
      </w:r>
    </w:p>
    <w:p>
      <w:pPr>
        <w:keepNext/>
        <w:pBdr>
          <w:bottom w:val="single" w:color="D20D1D" w:sz="6" w:space="5"/>
        </w:pBdr>
        <w:spacing w:after="130" w:before="270"/>
      </w:pPr>
      <w:r>
        <w:rPr>
          <w:rFonts w:ascii="Arial" w:cs="Arial" w:eastAsia="Arial" w:hAnsi="Arial"/>
          <w:b/>
          <w:bCs/>
          <w:color w:val="A6111E"/>
          <w:sz w:val="19"/>
          <w:szCs w:val="19"/>
        </w:rPr>
        <w:t xml:space="preserve">1.</w:t>
      </w:r>
      <w:r>
        <w:rPr>
          <w:rFonts w:ascii="Arial" w:cs="Arial" w:eastAsia="Arial" w:hAnsi="Arial"/>
          <w:b/>
          <w:bCs/>
          <w:color w:val="A6111E"/>
          <w:spacing w:val="12"/>
          <w:sz w:val="19"/>
          <w:szCs w:val="19"/>
        </w:rPr>
        <w:t xml:space="preserve">  WHO WE ARE</w:t>
      </w:r>
    </w:p>
    <w:p>
      <w:pPr>
        <w:spacing w:after="120" w:line="285"/>
        <w:jc w:val="both"/>
      </w:pPr>
      <w:r>
        <w:rPr>
          <w:rFonts w:ascii="Times New Roman" w:cs="Times New Roman" w:eastAsia="Times New Roman" w:hAnsi="Times New Roman"/>
          <w:sz w:val="20"/>
          <w:szCs w:val="20"/>
        </w:rPr>
        <w:t xml:space="preserve">The Data Controller responsible for personal data processed through Venttly is:</w:t>
      </w:r>
    </w:p>
    <w:p>
      <w:pPr>
        <w:spacing w:after="130" w:line="285"/>
        <w:jc w:val="both"/>
      </w:pPr>
      <w:r>
        <w:rPr>
          <w:rFonts w:ascii="Times New Roman" w:cs="Times New Roman" w:eastAsia="Times New Roman" w:hAnsi="Times New Roman"/>
          <w:sz w:val="20"/>
          <w:szCs w:val="20"/>
        </w:rPr>
        <w:t xml:space="preserve">CODAFRIQA LTD
Akintwari, Kibagabaga, Kimironko Sector, Gasabo District, Kigali City, Republic of Rwanda
Company Code / TIN: 155397275
Data Controller registration: [REGISTRATION NUMBER], valid until [EXPIRY DATE]</w:t>
      </w:r>
    </w:p>
    <w:p>
      <w:pPr>
        <w:spacing w:after="0" w:line="285"/>
        <w:jc w:val="both"/>
      </w:pPr>
      <w:r>
        <w:rPr>
          <w:rFonts w:ascii="Times New Roman" w:cs="Times New Roman" w:eastAsia="Times New Roman" w:hAnsi="Times New Roman"/>
          <w:sz w:val="20"/>
          <w:szCs w:val="20"/>
        </w:rPr>
        <w:t xml:space="preserve">Data Protection Officer: URAYENEZA Dian King — king.dian@codafriqa.rw
Privacy contact: [PRIVACY EMAIL]</w:t>
      </w:r>
    </w:p>
    <w:p>
      <w:pPr>
        <w:keepNext/>
        <w:pBdr>
          <w:bottom w:val="single" w:color="D20D1D" w:sz="6" w:space="5"/>
        </w:pBdr>
        <w:spacing w:after="130" w:before="270"/>
      </w:pPr>
      <w:r>
        <w:rPr>
          <w:rFonts w:ascii="Arial" w:cs="Arial" w:eastAsia="Arial" w:hAnsi="Arial"/>
          <w:b/>
          <w:bCs/>
          <w:color w:val="A6111E"/>
          <w:sz w:val="19"/>
          <w:szCs w:val="19"/>
        </w:rPr>
        <w:t xml:space="preserve">2.</w:t>
      </w:r>
      <w:r>
        <w:rPr>
          <w:rFonts w:ascii="Arial" w:cs="Arial" w:eastAsia="Arial" w:hAnsi="Arial"/>
          <w:b/>
          <w:bCs/>
          <w:color w:val="A6111E"/>
          <w:spacing w:val="12"/>
          <w:sz w:val="19"/>
          <w:szCs w:val="19"/>
        </w:rPr>
        <w:t xml:space="preserve">  WHAT PERSONAL DATA MEANS</w:t>
      </w:r>
    </w:p>
    <w:p>
      <w:pPr>
        <w:spacing w:after="120" w:line="285"/>
        <w:jc w:val="both"/>
      </w:pPr>
      <w:r>
        <w:rPr>
          <w:rFonts w:ascii="Times New Roman" w:cs="Times New Roman" w:eastAsia="Times New Roman" w:hAnsi="Times New Roman"/>
          <w:sz w:val="20"/>
          <w:szCs w:val="20"/>
        </w:rPr>
        <w:t xml:space="preserve">Personal data means information relating to an identified or identifiable person. Under the DPP Law this expressly includes identifiers such as location data and online identifiers. For Venttly it may include your name, username, email address, telephone number, account identifier, profile information, device information, IP address, online identifiers, location information, communications, activity records, photographs, video, audio and other information capable of identifying or relating to you.</w:t>
      </w:r>
    </w:p>
    <w:p>
      <w:pPr>
        <w:keepNext/>
        <w:pBdr>
          <w:bottom w:val="single" w:color="D20D1D" w:sz="6" w:space="5"/>
        </w:pBdr>
        <w:spacing w:after="130" w:before="270"/>
      </w:pPr>
      <w:r>
        <w:rPr>
          <w:rFonts w:ascii="Arial" w:cs="Arial" w:eastAsia="Arial" w:hAnsi="Arial"/>
          <w:b/>
          <w:bCs/>
          <w:color w:val="A6111E"/>
          <w:sz w:val="19"/>
          <w:szCs w:val="19"/>
        </w:rPr>
        <w:t xml:space="preserve">3.</w:t>
      </w:r>
      <w:r>
        <w:rPr>
          <w:rFonts w:ascii="Arial" w:cs="Arial" w:eastAsia="Arial" w:hAnsi="Arial"/>
          <w:b/>
          <w:bCs/>
          <w:color w:val="A6111E"/>
          <w:spacing w:val="12"/>
          <w:sz w:val="19"/>
          <w:szCs w:val="19"/>
        </w:rPr>
        <w:t xml:space="preserve">  INFORMATION WE COLLECT</w:t>
      </w:r>
    </w:p>
    <w:p>
      <w:pPr>
        <w:keepNext/>
        <w:spacing w:after="80" w:before="170"/>
      </w:pPr>
      <w:r>
        <w:rPr>
          <w:rFonts w:ascii="Arial" w:cs="Arial" w:eastAsia="Arial" w:hAnsi="Arial"/>
          <w:b/>
          <w:bCs/>
          <w:color w:val="D20D1D"/>
          <w:sz w:val="17"/>
          <w:szCs w:val="17"/>
        </w:rPr>
        <w:t xml:space="preserve">3.1 </w:t>
      </w:r>
      <w:r>
        <w:rPr>
          <w:rFonts w:ascii="Arial" w:cs="Arial" w:eastAsia="Arial" w:hAnsi="Arial"/>
          <w:b/>
          <w:bCs/>
          <w:color w:val="1A1A1A"/>
          <w:sz w:val="17"/>
          <w:szCs w:val="17"/>
        </w:rPr>
        <w:t xml:space="preserve">Account information</w:t>
      </w:r>
    </w:p>
    <w:p>
      <w:pPr>
        <w:spacing w:after="120" w:line="285"/>
        <w:jc w:val="both"/>
      </w:pPr>
      <w:r>
        <w:rPr>
          <w:rFonts w:ascii="Times New Roman" w:cs="Times New Roman" w:eastAsia="Times New Roman" w:hAnsi="Times New Roman"/>
          <w:sz w:val="20"/>
          <w:szCs w:val="20"/>
        </w:rPr>
        <w:t xml:space="preserve">Username, email address, telephone number, authentication information, date of birth or age information, profile information and account preferences.</w:t>
      </w:r>
    </w:p>
    <w:p>
      <w:pPr>
        <w:keepNext/>
        <w:spacing w:after="80" w:before="170"/>
      </w:pPr>
      <w:r>
        <w:rPr>
          <w:rFonts w:ascii="Arial" w:cs="Arial" w:eastAsia="Arial" w:hAnsi="Arial"/>
          <w:b/>
          <w:bCs/>
          <w:color w:val="D20D1D"/>
          <w:sz w:val="17"/>
          <w:szCs w:val="17"/>
        </w:rPr>
        <w:t xml:space="preserve">3.2 </w:t>
      </w:r>
      <w:r>
        <w:rPr>
          <w:rFonts w:ascii="Arial" w:cs="Arial" w:eastAsia="Arial" w:hAnsi="Arial"/>
          <w:b/>
          <w:bCs/>
          <w:color w:val="1A1A1A"/>
          <w:sz w:val="17"/>
          <w:szCs w:val="17"/>
        </w:rPr>
        <w:t xml:space="preserve">Content you submit</w:t>
      </w:r>
    </w:p>
    <w:p>
      <w:pPr>
        <w:spacing w:after="120" w:line="285"/>
        <w:jc w:val="both"/>
      </w:pPr>
      <w:r>
        <w:rPr>
          <w:rFonts w:ascii="Times New Roman" w:cs="Times New Roman" w:eastAsia="Times New Roman" w:hAnsi="Times New Roman"/>
          <w:sz w:val="20"/>
          <w:szCs w:val="20"/>
        </w:rPr>
        <w:t xml:space="preserve">Vents, posts, comments, messages, images, video, audio, profile information, reactions and other communications.</w:t>
      </w:r>
    </w:p>
    <w:p>
      <w:pPr>
        <w:keepNext/>
        <w:spacing w:after="80" w:before="170"/>
      </w:pPr>
      <w:r>
        <w:rPr>
          <w:rFonts w:ascii="Arial" w:cs="Arial" w:eastAsia="Arial" w:hAnsi="Arial"/>
          <w:b/>
          <w:bCs/>
          <w:color w:val="D20D1D"/>
          <w:sz w:val="17"/>
          <w:szCs w:val="17"/>
        </w:rPr>
        <w:t xml:space="preserve">3.3 </w:t>
      </w:r>
      <w:r>
        <w:rPr>
          <w:rFonts w:ascii="Arial" w:cs="Arial" w:eastAsia="Arial" w:hAnsi="Arial"/>
          <w:b/>
          <w:bCs/>
          <w:color w:val="1A1A1A"/>
          <w:sz w:val="17"/>
          <w:szCs w:val="17"/>
        </w:rPr>
        <w:t xml:space="preserve">Device and technical information</w:t>
      </w:r>
    </w:p>
    <w:p>
      <w:pPr>
        <w:spacing w:after="120" w:line="285"/>
        <w:jc w:val="both"/>
      </w:pPr>
      <w:r>
        <w:rPr>
          <w:rFonts w:ascii="Times New Roman" w:cs="Times New Roman" w:eastAsia="Times New Roman" w:hAnsi="Times New Roman"/>
          <w:sz w:val="20"/>
          <w:szCs w:val="20"/>
        </w:rPr>
        <w:t xml:space="preserve">Device type, operating system, application version, IP address, unique device or installation identifiers, crash reports, security events, network information, timestamps and diagnostic information.</w:t>
      </w:r>
    </w:p>
    <w:p>
      <w:pPr>
        <w:keepNext/>
        <w:spacing w:after="80" w:before="170"/>
      </w:pPr>
      <w:r>
        <w:rPr>
          <w:rFonts w:ascii="Arial" w:cs="Arial" w:eastAsia="Arial" w:hAnsi="Arial"/>
          <w:b/>
          <w:bCs/>
          <w:color w:val="D20D1D"/>
          <w:sz w:val="17"/>
          <w:szCs w:val="17"/>
        </w:rPr>
        <w:t xml:space="preserve">3.4 </w:t>
      </w:r>
      <w:r>
        <w:rPr>
          <w:rFonts w:ascii="Arial" w:cs="Arial" w:eastAsia="Arial" w:hAnsi="Arial"/>
          <w:b/>
          <w:bCs/>
          <w:color w:val="1A1A1A"/>
          <w:sz w:val="17"/>
          <w:szCs w:val="17"/>
        </w:rPr>
        <w:t xml:space="preserve">Usage information</w:t>
      </w:r>
    </w:p>
    <w:p>
      <w:pPr>
        <w:spacing w:after="120" w:line="285"/>
        <w:jc w:val="both"/>
      </w:pPr>
      <w:r>
        <w:rPr>
          <w:rFonts w:ascii="Times New Roman" w:cs="Times New Roman" w:eastAsia="Times New Roman" w:hAnsi="Times New Roman"/>
          <w:sz w:val="20"/>
          <w:szCs w:val="20"/>
        </w:rPr>
        <w:t xml:space="preserve">Features used, screens viewed, interactions, account activity, security events, reports submitted, moderation events and technical performance information.</w:t>
      </w:r>
    </w:p>
    <w:p>
      <w:pPr>
        <w:keepNext/>
        <w:pBdr>
          <w:bottom w:val="single" w:color="D20D1D" w:sz="6" w:space="5"/>
        </w:pBdr>
        <w:spacing w:after="130" w:before="270"/>
      </w:pPr>
      <w:r>
        <w:rPr>
          <w:rFonts w:ascii="Arial" w:cs="Arial" w:eastAsia="Arial" w:hAnsi="Arial"/>
          <w:b/>
          <w:bCs/>
          <w:color w:val="A6111E"/>
          <w:sz w:val="19"/>
          <w:szCs w:val="19"/>
        </w:rPr>
        <w:t xml:space="preserve">4.</w:t>
      </w:r>
      <w:r>
        <w:rPr>
          <w:rFonts w:ascii="Arial" w:cs="Arial" w:eastAsia="Arial" w:hAnsi="Arial"/>
          <w:b/>
          <w:bCs/>
          <w:color w:val="A6111E"/>
          <w:spacing w:val="12"/>
          <w:sz w:val="19"/>
          <w:szCs w:val="19"/>
        </w:rPr>
        <w:t xml:space="preserve">  WHY WE PROCESS PERSONAL DATA</w:t>
      </w:r>
    </w:p>
    <w:p>
      <w:pPr>
        <w:spacing w:after="120" w:line="285"/>
        <w:jc w:val="both"/>
      </w:pPr>
      <w:r>
        <w:rPr>
          <w:rFonts w:ascii="Times New Roman" w:cs="Times New Roman" w:eastAsia="Times New Roman" w:hAnsi="Times New Roman"/>
          <w:sz w:val="20"/>
          <w:szCs w:val="20"/>
        </w:rPr>
        <w:t xml:space="preserve">We process personal data for specified and legitimate purposes:</w:t>
      </w:r>
    </w:p>
    <w:p>
      <w:pPr>
        <w:spacing w:after="50" w:line="280"/>
        <w:ind w:left="340" w:hanging="170"/>
      </w:pPr>
      <w:r>
        <w:rPr>
          <w:rFonts w:ascii="Times New Roman" w:cs="Times New Roman" w:eastAsia="Times New Roman" w:hAnsi="Times New Roman"/>
          <w:color w:val="D20D1D"/>
          <w:sz w:val="20"/>
          <w:szCs w:val="20"/>
        </w:rPr>
        <w:t xml:space="preserve">– </w:t>
      </w:r>
      <w:r>
        <w:rPr>
          <w:rFonts w:ascii="Times New Roman" w:cs="Times New Roman" w:eastAsia="Times New Roman" w:hAnsi="Times New Roman"/>
          <w:sz w:val="20"/>
          <w:szCs w:val="20"/>
        </w:rPr>
        <w:t xml:space="preserve">Providing the service — creating accounts, authenticating users, delivering messages, displaying content, maintaining profiles, operating social features and providing support.</w:t>
      </w:r>
    </w:p>
    <w:p>
      <w:pPr>
        <w:spacing w:after="50" w:line="280"/>
        <w:ind w:left="340" w:hanging="170"/>
      </w:pPr>
      <w:r>
        <w:rPr>
          <w:rFonts w:ascii="Times New Roman" w:cs="Times New Roman" w:eastAsia="Times New Roman" w:hAnsi="Times New Roman"/>
          <w:color w:val="D20D1D"/>
          <w:sz w:val="20"/>
          <w:szCs w:val="20"/>
        </w:rPr>
        <w:t xml:space="preserve">– </w:t>
      </w:r>
      <w:r>
        <w:rPr>
          <w:rFonts w:ascii="Times New Roman" w:cs="Times New Roman" w:eastAsia="Times New Roman" w:hAnsi="Times New Roman"/>
          <w:sz w:val="20"/>
          <w:szCs w:val="20"/>
        </w:rPr>
        <w:t xml:space="preserve">Security — detecting unauthorised access, preventing fraud, investigating abuse, detecting malicious activity and protecting accounts and infrastructure.</w:t>
      </w:r>
    </w:p>
    <w:p>
      <w:pPr>
        <w:spacing w:after="50" w:line="280"/>
        <w:ind w:left="340" w:hanging="170"/>
      </w:pPr>
      <w:r>
        <w:rPr>
          <w:rFonts w:ascii="Times New Roman" w:cs="Times New Roman" w:eastAsia="Times New Roman" w:hAnsi="Times New Roman"/>
          <w:color w:val="D20D1D"/>
          <w:sz w:val="20"/>
          <w:szCs w:val="20"/>
        </w:rPr>
        <w:t xml:space="preserve">– </w:t>
      </w:r>
      <w:r>
        <w:rPr>
          <w:rFonts w:ascii="Times New Roman" w:cs="Times New Roman" w:eastAsia="Times New Roman" w:hAnsi="Times New Roman"/>
          <w:sz w:val="20"/>
          <w:szCs w:val="20"/>
        </w:rPr>
        <w:t xml:space="preserve">Moderation — investigating reports, enforcing our Community Guidelines, identifying prohibited activity, suspending abusive accounts and protecting users.</w:t>
      </w:r>
    </w:p>
    <w:p>
      <w:pPr>
        <w:spacing w:after="50" w:line="280"/>
        <w:ind w:left="340" w:hanging="170"/>
      </w:pPr>
      <w:r>
        <w:rPr>
          <w:rFonts w:ascii="Times New Roman" w:cs="Times New Roman" w:eastAsia="Times New Roman" w:hAnsi="Times New Roman"/>
          <w:color w:val="D20D1D"/>
          <w:sz w:val="20"/>
          <w:szCs w:val="20"/>
        </w:rPr>
        <w:t xml:space="preserve">– </w:t>
      </w:r>
      <w:r>
        <w:rPr>
          <w:rFonts w:ascii="Times New Roman" w:cs="Times New Roman" w:eastAsia="Times New Roman" w:hAnsi="Times New Roman"/>
          <w:sz w:val="20"/>
          <w:szCs w:val="20"/>
        </w:rPr>
        <w:t xml:space="preserve">Legal compliance — complying with law, responding to lawful requests and court orders, cooperating with competent authorities, and establishing or defending legal claims.</w:t>
      </w:r>
    </w:p>
    <w:p>
      <w:pPr>
        <w:spacing w:after="50" w:line="280"/>
        <w:ind w:left="340" w:hanging="170"/>
      </w:pPr>
      <w:r>
        <w:rPr>
          <w:rFonts w:ascii="Times New Roman" w:cs="Times New Roman" w:eastAsia="Times New Roman" w:hAnsi="Times New Roman"/>
          <w:color w:val="D20D1D"/>
          <w:sz w:val="20"/>
          <w:szCs w:val="20"/>
        </w:rPr>
        <w:t xml:space="preserve">– </w:t>
      </w:r>
      <w:r>
        <w:rPr>
          <w:rFonts w:ascii="Times New Roman" w:cs="Times New Roman" w:eastAsia="Times New Roman" w:hAnsi="Times New Roman"/>
          <w:sz w:val="20"/>
          <w:szCs w:val="20"/>
        </w:rPr>
        <w:t xml:space="preserve">Service improvement — understanding technical performance, diagnosing problems, improving reliability and developing new functionality.</w:t>
      </w:r>
    </w:p>
    <w:p>
      <w:pPr>
        <w:spacing w:after="130" w:line="285"/>
        <w:jc w:val="both"/>
      </w:pPr>
      <w:r>
        <w:rPr>
          <w:rFonts w:ascii="Times New Roman" w:cs="Times New Roman" w:eastAsia="Times New Roman" w:hAnsi="Times New Roman"/>
          <w:sz w:val="20"/>
          <w:szCs w:val="20"/>
        </w:rPr>
        <w:t xml:space="preserve">The DPP Law requires processing to be lawful, fair, transparent, limited to specified purposes, relevant, accurate, and retained no longer than necessary, subject to statutory exceptions.</w:t>
      </w:r>
    </w:p>
    <w:p>
      <w:pPr>
        <w:keepNext/>
        <w:pBdr>
          <w:bottom w:val="single" w:color="D20D1D" w:sz="6" w:space="5"/>
        </w:pBdr>
        <w:spacing w:after="130" w:before="270"/>
      </w:pPr>
      <w:r>
        <w:rPr>
          <w:rFonts w:ascii="Arial" w:cs="Arial" w:eastAsia="Arial" w:hAnsi="Arial"/>
          <w:b/>
          <w:bCs/>
          <w:color w:val="A6111E"/>
          <w:sz w:val="19"/>
          <w:szCs w:val="19"/>
        </w:rPr>
        <w:t xml:space="preserve">5.</w:t>
      </w:r>
      <w:r>
        <w:rPr>
          <w:rFonts w:ascii="Arial" w:cs="Arial" w:eastAsia="Arial" w:hAnsi="Arial"/>
          <w:b/>
          <w:bCs/>
          <w:color w:val="A6111E"/>
          <w:spacing w:val="12"/>
          <w:sz w:val="19"/>
          <w:szCs w:val="19"/>
        </w:rPr>
        <w:t xml:space="preserve">  LAWFUL BASES</w:t>
      </w:r>
    </w:p>
    <w:p>
      <w:pPr>
        <w:spacing w:after="120" w:line="285"/>
        <w:jc w:val="both"/>
      </w:pPr>
      <w:r>
        <w:rPr>
          <w:rFonts w:ascii="Times New Roman" w:cs="Times New Roman" w:eastAsia="Times New Roman" w:hAnsi="Times New Roman"/>
          <w:sz w:val="20"/>
          <w:szCs w:val="20"/>
        </w:rPr>
        <w:t xml:space="preserve">Depending on the activity, we rely on your consent, the performance of a contract with you, compliance with a legal obligation, the protection of vital interests, or our legitimate interests where the law permits.</w:t>
      </w:r>
    </w:p>
    <w:p>
      <w:pPr>
        <w:spacing w:after="120" w:line="285"/>
        <w:jc w:val="both"/>
      </w:pPr>
      <w:r>
        <w:rPr>
          <w:rFonts w:ascii="Times New Roman" w:cs="Times New Roman" w:eastAsia="Times New Roman" w:hAnsi="Times New Roman"/>
          <w:sz w:val="20"/>
          <w:szCs w:val="20"/>
        </w:rPr>
        <w:t xml:space="preserve">Where we rely on consent, we request it for the specified purpose and you may withdraw it. Withdrawal does not affect the lawfulness of processing carried out before withdrawal. We inform you of your withdrawal rights and related rights at the point of collection, as the DPP Law requires.</w:t>
      </w:r>
    </w:p>
    <w:p>
      <w:pPr>
        <w:keepNext/>
        <w:pBdr>
          <w:bottom w:val="single" w:color="D20D1D" w:sz="6" w:space="5"/>
        </w:pBdr>
        <w:spacing w:after="130" w:before="270"/>
      </w:pPr>
      <w:r>
        <w:rPr>
          <w:rFonts w:ascii="Arial" w:cs="Arial" w:eastAsia="Arial" w:hAnsi="Arial"/>
          <w:b/>
          <w:bCs/>
          <w:color w:val="A6111E"/>
          <w:sz w:val="19"/>
          <w:szCs w:val="19"/>
        </w:rPr>
        <w:t xml:space="preserve">6.</w:t>
      </w:r>
      <w:r>
        <w:rPr>
          <w:rFonts w:ascii="Arial" w:cs="Arial" w:eastAsia="Arial" w:hAnsi="Arial"/>
          <w:b/>
          <w:bCs/>
          <w:color w:val="A6111E"/>
          <w:spacing w:val="12"/>
          <w:sz w:val="19"/>
          <w:szCs w:val="19"/>
        </w:rPr>
        <w:t xml:space="preserve">  INFORMATION YOU MAKE PUBLIC</w:t>
      </w:r>
    </w:p>
    <w:p>
      <w:pPr>
        <w:spacing w:after="120" w:line="285"/>
        <w:jc w:val="both"/>
      </w:pPr>
      <w:r>
        <w:rPr>
          <w:rFonts w:ascii="Times New Roman" w:cs="Times New Roman" w:eastAsia="Times New Roman" w:hAnsi="Times New Roman"/>
          <w:sz w:val="20"/>
          <w:szCs w:val="20"/>
        </w:rPr>
        <w:t xml:space="preserve">Some Venttly features are intentionally social. If you publish information publicly or share it with other users, it may be viewed, copied, shared or otherwise processed by anyone who can access it.</w:t>
      </w:r>
    </w:p>
    <w:p>
      <w:pPr>
        <w:pBdr>
          <w:left w:val="single" w:color="D20D1D" w:sz="16" w:space="11"/>
        </w:pBdr>
        <w:shd w:fill="FBF3F3" w:val="clear"/>
        <w:spacing w:after="170" w:before="150" w:line="285"/>
        <w:ind w:left="170" w:right="170"/>
        <w:jc w:val="both"/>
      </w:pPr>
      <w:r>
        <w:rPr>
          <w:rFonts w:ascii="Times New Roman" w:cs="Times New Roman" w:eastAsia="Times New Roman" w:hAnsi="Times New Roman"/>
          <w:b/>
          <w:bCs/>
          <w:color w:val="1A1A1A"/>
          <w:sz w:val="20"/>
          <w:szCs w:val="20"/>
        </w:rPr>
        <w:t xml:space="preserve">Do not publish information you need to remain private. Once you share something with another user, we cannot control what they do with it.</w:t>
      </w:r>
    </w:p>
    <w:p>
      <w:pPr>
        <w:spacing w:after="120" w:line="285"/>
        <w:jc w:val="both"/>
      </w:pPr>
      <w:r>
        <w:rPr>
          <w:rFonts w:ascii="Times New Roman" w:cs="Times New Roman" w:eastAsia="Times New Roman" w:hAnsi="Times New Roman"/>
          <w:sz w:val="20"/>
          <w:szCs w:val="20"/>
        </w:rPr>
        <w:t xml:space="preserve">This matters particularly for home addresses, telephone numbers, financial information, passwords, national identification numbers, private medical information, intimate material, and information belonging to another person.</w:t>
      </w:r>
    </w:p>
    <w:p>
      <w:pPr>
        <w:keepNext/>
        <w:pBdr>
          <w:bottom w:val="single" w:color="D20D1D" w:sz="6" w:space="5"/>
        </w:pBdr>
        <w:spacing w:after="130" w:before="270"/>
      </w:pPr>
      <w:r>
        <w:rPr>
          <w:rFonts w:ascii="Arial" w:cs="Arial" w:eastAsia="Arial" w:hAnsi="Arial"/>
          <w:b/>
          <w:bCs/>
          <w:color w:val="A6111E"/>
          <w:sz w:val="19"/>
          <w:szCs w:val="19"/>
        </w:rPr>
        <w:t xml:space="preserve">7.</w:t>
      </w:r>
      <w:r>
        <w:rPr>
          <w:rFonts w:ascii="Arial" w:cs="Arial" w:eastAsia="Arial" w:hAnsi="Arial"/>
          <w:b/>
          <w:bCs/>
          <w:color w:val="A6111E"/>
          <w:spacing w:val="12"/>
          <w:sz w:val="19"/>
          <w:szCs w:val="19"/>
        </w:rPr>
        <w:t xml:space="preserve">  MESSAGES AND PRIVATE COMMUNICATIONS</w:t>
      </w:r>
    </w:p>
    <w:p>
      <w:pPr>
        <w:spacing w:after="120" w:line="285"/>
        <w:jc w:val="both"/>
      </w:pPr>
      <w:r>
        <w:rPr>
          <w:rFonts w:ascii="Times New Roman" w:cs="Times New Roman" w:eastAsia="Times New Roman" w:hAnsi="Times New Roman"/>
          <w:sz w:val="20"/>
          <w:szCs w:val="20"/>
        </w:rPr>
        <w:t xml:space="preserve">We process information associated with private communications in order to deliver messaging, maintain delivery, protect the platform, enforce our policies, prevent abuse, investigate reports and comply with legal obligations.</w:t>
      </w:r>
    </w:p>
    <w:p>
      <w:pPr>
        <w:pBdr>
          <w:left w:val="single" w:color="D20D1D" w:sz="16" w:space="11"/>
        </w:pBdr>
        <w:shd w:fill="FBF3F3" w:val="clear"/>
        <w:spacing w:after="170" w:before="150" w:line="285"/>
        <w:ind w:left="170" w:right="170"/>
        <w:jc w:val="both"/>
      </w:pPr>
      <w:r>
        <w:rPr>
          <w:rFonts w:ascii="Times New Roman" w:cs="Times New Roman" w:eastAsia="Times New Roman" w:hAnsi="Times New Roman"/>
          <w:b/>
          <w:bCs/>
          <w:color w:val="1A1A1A"/>
          <w:sz w:val="20"/>
          <w:szCs w:val="20"/>
        </w:rPr>
        <w:t xml:space="preserve">Private messages on Venttly are not end-to-end encrypted. Messages are encrypted in transit and at rest, but they are technically accessible to CODAFRIQA where necessary for the purposes described in this Policy.</w:t>
      </w:r>
    </w:p>
    <w:p>
      <w:pPr>
        <w:keepNext/>
        <w:pBdr>
          <w:bottom w:val="single" w:color="D20D1D" w:sz="6" w:space="5"/>
        </w:pBdr>
        <w:spacing w:after="130" w:before="270"/>
      </w:pPr>
      <w:r>
        <w:rPr>
          <w:rFonts w:ascii="Arial" w:cs="Arial" w:eastAsia="Arial" w:hAnsi="Arial"/>
          <w:b/>
          <w:bCs/>
          <w:color w:val="A6111E"/>
          <w:sz w:val="19"/>
          <w:szCs w:val="19"/>
        </w:rPr>
        <w:t xml:space="preserve">8.</w:t>
      </w:r>
      <w:r>
        <w:rPr>
          <w:rFonts w:ascii="Arial" w:cs="Arial" w:eastAsia="Arial" w:hAnsi="Arial"/>
          <w:b/>
          <w:bCs/>
          <w:color w:val="A6111E"/>
          <w:spacing w:val="12"/>
          <w:sz w:val="19"/>
          <w:szCs w:val="19"/>
        </w:rPr>
        <w:t xml:space="preserve">  PSEUDONYMOUS ACTIVITY</w:t>
      </w:r>
    </w:p>
    <w:p>
      <w:pPr>
        <w:spacing w:after="120" w:line="285"/>
        <w:jc w:val="both"/>
      </w:pPr>
      <w:r>
        <w:rPr>
          <w:rFonts w:ascii="Times New Roman" w:cs="Times New Roman" w:eastAsia="Times New Roman" w:hAnsi="Times New Roman"/>
          <w:sz w:val="20"/>
          <w:szCs w:val="20"/>
        </w:rPr>
        <w:t xml:space="preserve">Venttly offers pseudonymous features. Appearing anonymous to another user does not mean that no information exists which could technically associate activity with an account or device. We retain the technical and security information necessary to protect the service, prevent abuse, investigate security incidents, enforce our Terms, comply with law and respond to lawful requests.</w:t>
      </w:r>
    </w:p>
    <w:p>
      <w:pPr>
        <w:pBdr>
          <w:left w:val="single" w:color="D20D1D" w:sz="16" w:space="11"/>
        </w:pBdr>
        <w:shd w:fill="FBF3F3" w:val="clear"/>
        <w:spacing w:after="170" w:before="150" w:line="285"/>
        <w:ind w:left="170" w:right="170"/>
        <w:jc w:val="both"/>
      </w:pPr>
      <w:r>
        <w:rPr>
          <w:rFonts w:ascii="Times New Roman" w:cs="Times New Roman" w:eastAsia="Times New Roman" w:hAnsi="Times New Roman"/>
          <w:b/>
          <w:bCs/>
          <w:color w:val="1A1A1A"/>
          <w:sz w:val="20"/>
          <w:szCs w:val="20"/>
        </w:rPr>
        <w:t xml:space="preserve">We do not represent Venttly as providing absolute anonymity.</w:t>
      </w:r>
    </w:p>
    <w:p>
      <w:pPr>
        <w:keepNext/>
        <w:pBdr>
          <w:bottom w:val="single" w:color="D20D1D" w:sz="6" w:space="5"/>
        </w:pBdr>
        <w:spacing w:after="130" w:before="270"/>
      </w:pPr>
      <w:r>
        <w:rPr>
          <w:rFonts w:ascii="Arial" w:cs="Arial" w:eastAsia="Arial" w:hAnsi="Arial"/>
          <w:b/>
          <w:bCs/>
          <w:color w:val="A6111E"/>
          <w:sz w:val="19"/>
          <w:szCs w:val="19"/>
        </w:rPr>
        <w:t xml:space="preserve">9.</w:t>
      </w:r>
      <w:r>
        <w:rPr>
          <w:rFonts w:ascii="Arial" w:cs="Arial" w:eastAsia="Arial" w:hAnsi="Arial"/>
          <w:b/>
          <w:bCs/>
          <w:color w:val="A6111E"/>
          <w:spacing w:val="12"/>
          <w:sz w:val="19"/>
          <w:szCs w:val="19"/>
        </w:rPr>
        <w:t xml:space="preserve">  COOKIES AND SIMILAR TECHNOLOGIES</w:t>
      </w:r>
    </w:p>
    <w:p>
      <w:pPr>
        <w:spacing w:after="120" w:line="285"/>
        <w:jc w:val="both"/>
      </w:pPr>
      <w:r>
        <w:rPr>
          <w:rFonts w:ascii="Times New Roman" w:cs="Times New Roman" w:eastAsia="Times New Roman" w:hAnsi="Times New Roman"/>
          <w:sz w:val="20"/>
          <w:szCs w:val="20"/>
        </w:rPr>
        <w:t xml:space="preserve">Venttly may use cookies, software development kits, local storage, device identifiers and similar technologies for authentication, security, remembering preferences, analytics, performance monitoring and fraud prevention. Where the law requires it, we obtain consent before using non-essential technologies. Our use of these technologies is described in the Venttly Cookie Policy.</w:t>
      </w:r>
    </w:p>
    <w:p>
      <w:pPr>
        <w:keepNext/>
        <w:pBdr>
          <w:bottom w:val="single" w:color="D20D1D" w:sz="6" w:space="5"/>
        </w:pBdr>
        <w:spacing w:after="130" w:before="270"/>
      </w:pPr>
      <w:r>
        <w:rPr>
          <w:rFonts w:ascii="Arial" w:cs="Arial" w:eastAsia="Arial" w:hAnsi="Arial"/>
          <w:b/>
          <w:bCs/>
          <w:color w:val="A6111E"/>
          <w:sz w:val="19"/>
          <w:szCs w:val="19"/>
        </w:rPr>
        <w:t xml:space="preserve">10.</w:t>
      </w:r>
      <w:r>
        <w:rPr>
          <w:rFonts w:ascii="Arial" w:cs="Arial" w:eastAsia="Arial" w:hAnsi="Arial"/>
          <w:b/>
          <w:bCs/>
          <w:color w:val="A6111E"/>
          <w:spacing w:val="12"/>
          <w:sz w:val="19"/>
          <w:szCs w:val="19"/>
        </w:rPr>
        <w:t xml:space="preserve">  SERVICE PROVIDERS</w:t>
      </w:r>
    </w:p>
    <w:p>
      <w:pPr>
        <w:spacing w:after="120" w:line="285"/>
        <w:jc w:val="both"/>
      </w:pPr>
      <w:r>
        <w:rPr>
          <w:rFonts w:ascii="Times New Roman" w:cs="Times New Roman" w:eastAsia="Times New Roman" w:hAnsi="Times New Roman"/>
          <w:sz w:val="20"/>
          <w:szCs w:val="20"/>
        </w:rPr>
        <w:t xml:space="preserve">We use third-party providers to operate Venttly. Each processes personal data only as necessary to provide its service to us and under appropriate contractual and legal safeguards, as the DPP Law requires.</w:t>
      </w:r>
    </w:p>
    <w:p>
      <w:pPr>
        <w:spacing w:after="120" w:line="285"/>
        <w:jc w:val="both"/>
      </w:pPr>
      <w:r>
        <w:rPr>
          <w:rFonts w:ascii="Times New Roman" w:cs="Times New Roman" w:eastAsia="Times New Roman" w:hAnsi="Times New Roman"/>
          <w:i/>
          <w:iCs/>
          <w:color w:val="595959"/>
          <w:sz w:val="20"/>
          <w:szCs w:val="20"/>
        </w:rPr>
        <w:t xml:space="preserve">[PROVIDER TABLE — list each provider, the function it performs and the country in which it processes data.]</w:t>
      </w:r>
    </w:p>
    <w:p>
      <w:pPr>
        <w:keepNext/>
        <w:pBdr>
          <w:bottom w:val="single" w:color="D20D1D" w:sz="6" w:space="5"/>
        </w:pBdr>
        <w:spacing w:after="130" w:before="270"/>
      </w:pPr>
      <w:r>
        <w:rPr>
          <w:rFonts w:ascii="Arial" w:cs="Arial" w:eastAsia="Arial" w:hAnsi="Arial"/>
          <w:b/>
          <w:bCs/>
          <w:color w:val="A6111E"/>
          <w:sz w:val="19"/>
          <w:szCs w:val="19"/>
        </w:rPr>
        <w:t xml:space="preserve">11.</w:t>
      </w:r>
      <w:r>
        <w:rPr>
          <w:rFonts w:ascii="Arial" w:cs="Arial" w:eastAsia="Arial" w:hAnsi="Arial"/>
          <w:b/>
          <w:bCs/>
          <w:color w:val="A6111E"/>
          <w:spacing w:val="12"/>
          <w:sz w:val="19"/>
          <w:szCs w:val="19"/>
        </w:rPr>
        <w:t xml:space="preserve">  SHARING PERSONAL DATA</w:t>
      </w:r>
    </w:p>
    <w:p>
      <w:pPr>
        <w:spacing w:after="120" w:line="285"/>
        <w:jc w:val="both"/>
      </w:pPr>
      <w:r>
        <w:rPr>
          <w:rFonts w:ascii="Times New Roman" w:cs="Times New Roman" w:eastAsia="Times New Roman" w:hAnsi="Times New Roman"/>
          <w:sz w:val="20"/>
          <w:szCs w:val="20"/>
        </w:rPr>
        <w:t xml:space="preserve">We do not sell personal data. We may disclose personal data where reasonably necessary to our service providers, professional advisers and auditors, security providers, competent regulators, courts, law-enforcement and government authorities, parties to legal proceedings, or other parties where disclosure is authorised or required by law. We disclose only the information reasonably necessary for the relevant purpose.</w:t>
      </w:r>
    </w:p>
    <w:p>
      <w:pPr>
        <w:keepNext/>
        <w:pBdr>
          <w:bottom w:val="single" w:color="D20D1D" w:sz="6" w:space="5"/>
        </w:pBdr>
        <w:spacing w:after="130" w:before="270"/>
      </w:pPr>
      <w:r>
        <w:rPr>
          <w:rFonts w:ascii="Arial" w:cs="Arial" w:eastAsia="Arial" w:hAnsi="Arial"/>
          <w:b/>
          <w:bCs/>
          <w:color w:val="A6111E"/>
          <w:sz w:val="19"/>
          <w:szCs w:val="19"/>
        </w:rPr>
        <w:t xml:space="preserve">12.</w:t>
      </w:r>
      <w:r>
        <w:rPr>
          <w:rFonts w:ascii="Arial" w:cs="Arial" w:eastAsia="Arial" w:hAnsi="Arial"/>
          <w:b/>
          <w:bCs/>
          <w:color w:val="A6111E"/>
          <w:spacing w:val="12"/>
          <w:sz w:val="19"/>
          <w:szCs w:val="19"/>
        </w:rPr>
        <w:t xml:space="preserve">  TRANSFERS OUTSIDE RWANDA</w:t>
      </w:r>
    </w:p>
    <w:p>
      <w:pPr>
        <w:spacing w:after="120" w:line="285"/>
        <w:jc w:val="both"/>
      </w:pPr>
      <w:r>
        <w:rPr>
          <w:rFonts w:ascii="Times New Roman" w:cs="Times New Roman" w:eastAsia="Times New Roman" w:hAnsi="Times New Roman"/>
          <w:sz w:val="20"/>
          <w:szCs w:val="20"/>
        </w:rPr>
        <w:t xml:space="preserve">Some of our service providers operate outside Rwanda. Where personal data is transferred or stored outside Rwanda, we do so using a mechanism permitted under the DPP Law, which regulates international transfers and storage outside the country and may require authorisation from the supervisory authority.</w:t>
      </w:r>
    </w:p>
    <w:p>
      <w:pPr>
        <w:spacing w:after="120" w:line="285"/>
        <w:jc w:val="both"/>
      </w:pPr>
      <w:r>
        <w:rPr>
          <w:rFonts w:ascii="Times New Roman" w:cs="Times New Roman" w:eastAsia="Times New Roman" w:hAnsi="Times New Roman"/>
          <w:i/>
          <w:iCs/>
          <w:color w:val="595959"/>
          <w:sz w:val="20"/>
          <w:szCs w:val="20"/>
        </w:rPr>
        <w:t xml:space="preserve">[TRANSFER DETAIL — state each country to which personal data is transferred, the provider responsible and the lawful basis or authorisation relied on.]</w:t>
      </w:r>
    </w:p>
    <w:p>
      <w:pPr>
        <w:keepNext/>
        <w:pBdr>
          <w:bottom w:val="single" w:color="D20D1D" w:sz="6" w:space="5"/>
        </w:pBdr>
        <w:spacing w:after="130" w:before="270"/>
      </w:pPr>
      <w:r>
        <w:rPr>
          <w:rFonts w:ascii="Arial" w:cs="Arial" w:eastAsia="Arial" w:hAnsi="Arial"/>
          <w:b/>
          <w:bCs/>
          <w:color w:val="A6111E"/>
          <w:sz w:val="19"/>
          <w:szCs w:val="19"/>
        </w:rPr>
        <w:t xml:space="preserve">13.</w:t>
      </w:r>
      <w:r>
        <w:rPr>
          <w:rFonts w:ascii="Arial" w:cs="Arial" w:eastAsia="Arial" w:hAnsi="Arial"/>
          <w:b/>
          <w:bCs/>
          <w:color w:val="A6111E"/>
          <w:spacing w:val="12"/>
          <w:sz w:val="19"/>
          <w:szCs w:val="19"/>
        </w:rPr>
        <w:t xml:space="preserve">  SECURITY</w:t>
      </w:r>
    </w:p>
    <w:p>
      <w:pPr>
        <w:spacing w:after="120" w:line="285"/>
        <w:jc w:val="both"/>
      </w:pPr>
      <w:r>
        <w:rPr>
          <w:rFonts w:ascii="Times New Roman" w:cs="Times New Roman" w:eastAsia="Times New Roman" w:hAnsi="Times New Roman"/>
          <w:sz w:val="20"/>
          <w:szCs w:val="20"/>
        </w:rPr>
        <w:t xml:space="preserve">We apply reasonable technical and organisational measures designed to protect personal data against unauthorised access, unlawful processing, accidental loss, destruction, alteration and unauthorised disclosure. The DPP Law requires appropriate safeguards and requires us to identify and manage risk. No system connected to the internet can be guaranteed completely secure, and this Policy does not remove any statutory obligation imposed on us.</w:t>
      </w:r>
    </w:p>
    <w:p>
      <w:pPr>
        <w:keepNext/>
        <w:pBdr>
          <w:bottom w:val="single" w:color="D20D1D" w:sz="6" w:space="5"/>
        </w:pBdr>
        <w:spacing w:after="130" w:before="270"/>
      </w:pPr>
      <w:r>
        <w:rPr>
          <w:rFonts w:ascii="Arial" w:cs="Arial" w:eastAsia="Arial" w:hAnsi="Arial"/>
          <w:b/>
          <w:bCs/>
          <w:color w:val="A6111E"/>
          <w:sz w:val="19"/>
          <w:szCs w:val="19"/>
        </w:rPr>
        <w:t xml:space="preserve">14.</w:t>
      </w:r>
      <w:r>
        <w:rPr>
          <w:rFonts w:ascii="Arial" w:cs="Arial" w:eastAsia="Arial" w:hAnsi="Arial"/>
          <w:b/>
          <w:bCs/>
          <w:color w:val="A6111E"/>
          <w:spacing w:val="12"/>
          <w:sz w:val="19"/>
          <w:szCs w:val="19"/>
        </w:rPr>
        <w:t xml:space="preserve">  RETENTION</w:t>
      </w:r>
    </w:p>
    <w:p>
      <w:pPr>
        <w:spacing w:after="120" w:line="285"/>
        <w:jc w:val="both"/>
      </w:pPr>
      <w:r>
        <w:rPr>
          <w:rFonts w:ascii="Times New Roman" w:cs="Times New Roman" w:eastAsia="Times New Roman" w:hAnsi="Times New Roman"/>
          <w:sz w:val="20"/>
          <w:szCs w:val="20"/>
        </w:rPr>
        <w:t xml:space="preserve">We retain personal data only for as long as reasonably necessary for the purposes for which it was collected, unless longer retention is permitted or required by law. After an account is deleted we may retain certain information where necessary for legal obligations, fraud prevention, security, investigation of abuse, enforcement of our Terms, dispute resolution, the establishment or defence of legal claims, accounting or regulatory requirements. The DPP Law permits longer retention in specified circumstances, including legal proceedings and law enforcement.</w:t>
      </w:r>
    </w:p>
    <w:p>
      <w:pPr>
        <w:keepNext/>
        <w:pBdr>
          <w:bottom w:val="single" w:color="D20D1D" w:sz="6" w:space="5"/>
        </w:pBdr>
        <w:spacing w:after="130" w:before="270"/>
      </w:pPr>
      <w:r>
        <w:rPr>
          <w:rFonts w:ascii="Arial" w:cs="Arial" w:eastAsia="Arial" w:hAnsi="Arial"/>
          <w:b/>
          <w:bCs/>
          <w:color w:val="A6111E"/>
          <w:sz w:val="19"/>
          <w:szCs w:val="19"/>
        </w:rPr>
        <w:t xml:space="preserve">15.</w:t>
      </w:r>
      <w:r>
        <w:rPr>
          <w:rFonts w:ascii="Arial" w:cs="Arial" w:eastAsia="Arial" w:hAnsi="Arial"/>
          <w:b/>
          <w:bCs/>
          <w:color w:val="A6111E"/>
          <w:spacing w:val="12"/>
          <w:sz w:val="19"/>
          <w:szCs w:val="19"/>
        </w:rPr>
        <w:t xml:space="preserve">  ACCOUNT DELETION</w:t>
      </w:r>
    </w:p>
    <w:p>
      <w:pPr>
        <w:spacing w:after="120" w:line="285"/>
        <w:jc w:val="both"/>
      </w:pPr>
      <w:r>
        <w:rPr>
          <w:rFonts w:ascii="Times New Roman" w:cs="Times New Roman" w:eastAsia="Times New Roman" w:hAnsi="Times New Roman"/>
          <w:sz w:val="20"/>
          <w:szCs w:val="20"/>
        </w:rPr>
        <w:t xml:space="preserve">You may request deletion of your account through the account controls or by contacting us. Deletion does not necessarily mean the immediate destruction of every record: information may remain temporarily in backups, security logs, fraud-prevention systems, legal records or systems where immediate deletion is technically impracticable. When the applicable retention period expires, the personal data is destroyed.</w:t>
      </w:r>
    </w:p>
    <w:p>
      <w:pPr>
        <w:keepNext/>
        <w:pBdr>
          <w:bottom w:val="single" w:color="D20D1D" w:sz="6" w:space="5"/>
        </w:pBdr>
        <w:spacing w:after="130" w:before="270"/>
      </w:pPr>
      <w:r>
        <w:rPr>
          <w:rFonts w:ascii="Arial" w:cs="Arial" w:eastAsia="Arial" w:hAnsi="Arial"/>
          <w:b/>
          <w:bCs/>
          <w:color w:val="A6111E"/>
          <w:sz w:val="19"/>
          <w:szCs w:val="19"/>
        </w:rPr>
        <w:t xml:space="preserve">16.</w:t>
      </w:r>
      <w:r>
        <w:rPr>
          <w:rFonts w:ascii="Arial" w:cs="Arial" w:eastAsia="Arial" w:hAnsi="Arial"/>
          <w:b/>
          <w:bCs/>
          <w:color w:val="A6111E"/>
          <w:spacing w:val="12"/>
          <w:sz w:val="19"/>
          <w:szCs w:val="19"/>
        </w:rPr>
        <w:t xml:space="preserve">  YOUR RIGHTS</w:t>
      </w:r>
    </w:p>
    <w:p>
      <w:pPr>
        <w:spacing w:after="120" w:line="285"/>
        <w:jc w:val="both"/>
      </w:pPr>
      <w:r>
        <w:rPr>
          <w:rFonts w:ascii="Times New Roman" w:cs="Times New Roman" w:eastAsia="Times New Roman" w:hAnsi="Times New Roman"/>
          <w:sz w:val="20"/>
          <w:szCs w:val="20"/>
        </w:rPr>
        <w:t xml:space="preserve">Subject to the limitations in the DPP Law, you have the right to access your personal data, to be informed about processing, to have inaccurate data corrected, to restrict or object to processing, to erasure, to data portability, to withdraw consent, to rights concerning automated decision-making, and to complain to the supervisory authority.</w:t>
      </w:r>
    </w:p>
    <w:p>
      <w:pPr>
        <w:spacing w:after="120" w:line="285"/>
        <w:jc w:val="both"/>
      </w:pPr>
      <w:r>
        <w:rPr>
          <w:rFonts w:ascii="Times New Roman" w:cs="Times New Roman" w:eastAsia="Times New Roman" w:hAnsi="Times New Roman"/>
          <w:sz w:val="20"/>
          <w:szCs w:val="20"/>
        </w:rPr>
        <w:t xml:space="preserve">Requests may be sent to [PRIVACY EMAIL]. We may need to verify your identity before acting on certain requests, to prevent one person obtaining, altering or deleting another person’s information. We may refuse or limit a request where the law permits or requires.</w:t>
      </w:r>
    </w:p>
    <w:p>
      <w:pPr>
        <w:keepNext/>
        <w:pBdr>
          <w:bottom w:val="single" w:color="D20D1D" w:sz="6" w:space="5"/>
        </w:pBdr>
        <w:spacing w:after="130" w:before="270"/>
      </w:pPr>
      <w:r>
        <w:rPr>
          <w:rFonts w:ascii="Arial" w:cs="Arial" w:eastAsia="Arial" w:hAnsi="Arial"/>
          <w:b/>
          <w:bCs/>
          <w:color w:val="A6111E"/>
          <w:sz w:val="19"/>
          <w:szCs w:val="19"/>
        </w:rPr>
        <w:t xml:space="preserve">17.</w:t>
      </w:r>
      <w:r>
        <w:rPr>
          <w:rFonts w:ascii="Arial" w:cs="Arial" w:eastAsia="Arial" w:hAnsi="Arial"/>
          <w:b/>
          <w:bCs/>
          <w:color w:val="A6111E"/>
          <w:spacing w:val="12"/>
          <w:sz w:val="19"/>
          <w:szCs w:val="19"/>
        </w:rPr>
        <w:t xml:space="preserve">  AUTOMATED PROCESSING</w:t>
      </w:r>
    </w:p>
    <w:p>
      <w:pPr>
        <w:spacing w:after="120" w:line="285"/>
        <w:jc w:val="both"/>
      </w:pPr>
      <w:r>
        <w:rPr>
          <w:rFonts w:ascii="Times New Roman" w:cs="Times New Roman" w:eastAsia="Times New Roman" w:hAnsi="Times New Roman"/>
          <w:sz w:val="20"/>
          <w:szCs w:val="20"/>
        </w:rPr>
        <w:t xml:space="preserve">Venttly uses automated systems to personalise and recommend content, detect spam and suspicious activity, identify potential policy violations and improve security. Where the DPP Law requires further information about automated decision-making or profiling — including the logic involved, its significance and the anticipated consequences — we provide it.</w:t>
      </w:r>
    </w:p>
    <w:p>
      <w:pPr>
        <w:keepNext/>
        <w:pBdr>
          <w:bottom w:val="single" w:color="D20D1D" w:sz="6" w:space="5"/>
        </w:pBdr>
        <w:spacing w:after="130" w:before="270"/>
      </w:pPr>
      <w:r>
        <w:rPr>
          <w:rFonts w:ascii="Arial" w:cs="Arial" w:eastAsia="Arial" w:hAnsi="Arial"/>
          <w:b/>
          <w:bCs/>
          <w:color w:val="A6111E"/>
          <w:sz w:val="19"/>
          <w:szCs w:val="19"/>
        </w:rPr>
        <w:t xml:space="preserve">18.</w:t>
      </w:r>
      <w:r>
        <w:rPr>
          <w:rFonts w:ascii="Arial" w:cs="Arial" w:eastAsia="Arial" w:hAnsi="Arial"/>
          <w:b/>
          <w:bCs/>
          <w:color w:val="A6111E"/>
          <w:spacing w:val="12"/>
          <w:sz w:val="19"/>
          <w:szCs w:val="19"/>
        </w:rPr>
        <w:t xml:space="preserve">  CHILDREN’S DATA</w:t>
      </w:r>
    </w:p>
    <w:p>
      <w:pPr>
        <w:spacing w:after="120" w:line="285"/>
        <w:jc w:val="both"/>
      </w:pPr>
      <w:r>
        <w:rPr>
          <w:rFonts w:ascii="Times New Roman" w:cs="Times New Roman" w:eastAsia="Times New Roman" w:hAnsi="Times New Roman"/>
          <w:sz w:val="20"/>
          <w:szCs w:val="20"/>
        </w:rPr>
        <w:t xml:space="preserve">Venttly is not intended for users below the minimum age stated in our Terms of Service, and we do not knowingly process children’s personal data in breach of applicable law. Where we become aware that we hold personal data of a child in circumstances requiring parental authorisation, we may delete it, restrict processing or seek that authorisation. The DPP Law contains specific provisions on children’s personal data and parental responsibility.</w:t>
      </w:r>
    </w:p>
    <w:p>
      <w:pPr>
        <w:keepNext/>
        <w:pBdr>
          <w:bottom w:val="single" w:color="D20D1D" w:sz="6" w:space="5"/>
        </w:pBdr>
        <w:spacing w:after="130" w:before="270"/>
      </w:pPr>
      <w:r>
        <w:rPr>
          <w:rFonts w:ascii="Arial" w:cs="Arial" w:eastAsia="Arial" w:hAnsi="Arial"/>
          <w:b/>
          <w:bCs/>
          <w:color w:val="A6111E"/>
          <w:sz w:val="19"/>
          <w:szCs w:val="19"/>
        </w:rPr>
        <w:t xml:space="preserve">19.</w:t>
      </w:r>
      <w:r>
        <w:rPr>
          <w:rFonts w:ascii="Arial" w:cs="Arial" w:eastAsia="Arial" w:hAnsi="Arial"/>
          <w:b/>
          <w:bCs/>
          <w:color w:val="A6111E"/>
          <w:spacing w:val="12"/>
          <w:sz w:val="19"/>
          <w:szCs w:val="19"/>
        </w:rPr>
        <w:t xml:space="preserve">  SENSITIVE PERSONAL DATA</w:t>
      </w:r>
    </w:p>
    <w:p>
      <w:pPr>
        <w:spacing w:after="120" w:line="285"/>
        <w:jc w:val="both"/>
      </w:pPr>
      <w:r>
        <w:rPr>
          <w:rFonts w:ascii="Times New Roman" w:cs="Times New Roman" w:eastAsia="Times New Roman" w:hAnsi="Times New Roman"/>
          <w:sz w:val="20"/>
          <w:szCs w:val="20"/>
        </w:rPr>
        <w:t xml:space="preserve">You should not submit sensitive personal data unless a feature expressly provides for it. Sensitive data includes information about health, biometric and genetic information, political opinions, religious or philosophical beliefs, sexual life, and criminal records. The DPP Law imposes additional requirements on the processing of sensitive personal data.</w:t>
      </w:r>
    </w:p>
    <w:p>
      <w:pPr>
        <w:pBdr>
          <w:left w:val="single" w:color="D20D1D" w:sz="16" w:space="11"/>
        </w:pBdr>
        <w:shd w:fill="FBF3F3" w:val="clear"/>
        <w:spacing w:after="170" w:before="150" w:line="285"/>
        <w:ind w:left="170" w:right="170"/>
        <w:jc w:val="both"/>
      </w:pPr>
      <w:r>
        <w:rPr>
          <w:rFonts w:ascii="Times New Roman" w:cs="Times New Roman" w:eastAsia="Times New Roman" w:hAnsi="Times New Roman"/>
          <w:b/>
          <w:bCs/>
          <w:color w:val="1A1A1A"/>
          <w:sz w:val="20"/>
          <w:szCs w:val="20"/>
        </w:rPr>
        <w:t xml:space="preserve">Venttly is a platform where people discuss personal experiences. Anything you choose to share about your health, beliefs or private life is shared at your own discretion, and you should assume other users can see, copy and retain it.</w:t>
      </w:r>
    </w:p>
    <w:p>
      <w:pPr>
        <w:keepNext/>
        <w:pBdr>
          <w:bottom w:val="single" w:color="D20D1D" w:sz="6" w:space="5"/>
        </w:pBdr>
        <w:spacing w:after="130" w:before="270"/>
      </w:pPr>
      <w:r>
        <w:rPr>
          <w:rFonts w:ascii="Arial" w:cs="Arial" w:eastAsia="Arial" w:hAnsi="Arial"/>
          <w:b/>
          <w:bCs/>
          <w:color w:val="A6111E"/>
          <w:sz w:val="19"/>
          <w:szCs w:val="19"/>
        </w:rPr>
        <w:t xml:space="preserve">20.</w:t>
      </w:r>
      <w:r>
        <w:rPr>
          <w:rFonts w:ascii="Arial" w:cs="Arial" w:eastAsia="Arial" w:hAnsi="Arial"/>
          <w:b/>
          <w:bCs/>
          <w:color w:val="A6111E"/>
          <w:spacing w:val="12"/>
          <w:sz w:val="19"/>
          <w:szCs w:val="19"/>
        </w:rPr>
        <w:t xml:space="preserve">  PERSONAL DATA BREACHES</w:t>
      </w:r>
    </w:p>
    <w:p>
      <w:pPr>
        <w:spacing w:after="120" w:line="285"/>
        <w:jc w:val="both"/>
      </w:pPr>
      <w:r>
        <w:rPr>
          <w:rFonts w:ascii="Times New Roman" w:cs="Times New Roman" w:eastAsia="Times New Roman" w:hAnsi="Times New Roman"/>
          <w:sz w:val="20"/>
          <w:szCs w:val="20"/>
        </w:rPr>
        <w:t xml:space="preserve">If a personal-data breach occurs, we respond in accordance with the DPP Law and our internal incident-response procedure. This includes notifying the supervisory authority within the statutory period and, where the breach presents a high risk to affected individuals, communicating with those individuals.</w:t>
      </w:r>
    </w:p>
    <w:p>
      <w:pPr>
        <w:keepNext/>
        <w:pBdr>
          <w:bottom w:val="single" w:color="D20D1D" w:sz="6" w:space="5"/>
        </w:pBdr>
        <w:spacing w:after="130" w:before="270"/>
      </w:pPr>
      <w:r>
        <w:rPr>
          <w:rFonts w:ascii="Arial" w:cs="Arial" w:eastAsia="Arial" w:hAnsi="Arial"/>
          <w:b/>
          <w:bCs/>
          <w:color w:val="A6111E"/>
          <w:sz w:val="19"/>
          <w:szCs w:val="19"/>
        </w:rPr>
        <w:t xml:space="preserve">21.</w:t>
      </w:r>
      <w:r>
        <w:rPr>
          <w:rFonts w:ascii="Arial" w:cs="Arial" w:eastAsia="Arial" w:hAnsi="Arial"/>
          <w:b/>
          <w:bCs/>
          <w:color w:val="A6111E"/>
          <w:spacing w:val="12"/>
          <w:sz w:val="19"/>
          <w:szCs w:val="19"/>
        </w:rPr>
        <w:t xml:space="preserve">  LEGAL REQUESTS</w:t>
      </w:r>
    </w:p>
    <w:p>
      <w:pPr>
        <w:spacing w:after="120" w:line="285"/>
        <w:jc w:val="both"/>
      </w:pPr>
      <w:r>
        <w:rPr>
          <w:rFonts w:ascii="Times New Roman" w:cs="Times New Roman" w:eastAsia="Times New Roman" w:hAnsi="Times New Roman"/>
          <w:sz w:val="20"/>
          <w:szCs w:val="20"/>
        </w:rPr>
        <w:t xml:space="preserve">We may disclose information where reasonably necessary to comply with a legal obligation or court order, respond to a lawful governmental request, investigate unlawful activity, protect users or the service, prevent fraud, establish or defend legal claims, or protect the rights and safety of others. Where legally permitted, we assess the validity and scope of a request before responding.</w:t>
      </w:r>
    </w:p>
    <w:p>
      <w:pPr>
        <w:keepNext/>
        <w:pBdr>
          <w:bottom w:val="single" w:color="D20D1D" w:sz="6" w:space="5"/>
        </w:pBdr>
        <w:spacing w:after="130" w:before="270"/>
      </w:pPr>
      <w:r>
        <w:rPr>
          <w:rFonts w:ascii="Arial" w:cs="Arial" w:eastAsia="Arial" w:hAnsi="Arial"/>
          <w:b/>
          <w:bCs/>
          <w:color w:val="A6111E"/>
          <w:sz w:val="19"/>
          <w:szCs w:val="19"/>
        </w:rPr>
        <w:t xml:space="preserve">22.</w:t>
      </w:r>
      <w:r>
        <w:rPr>
          <w:rFonts w:ascii="Arial" w:cs="Arial" w:eastAsia="Arial" w:hAnsi="Arial"/>
          <w:b/>
          <w:bCs/>
          <w:color w:val="A6111E"/>
          <w:spacing w:val="12"/>
          <w:sz w:val="19"/>
          <w:szCs w:val="19"/>
        </w:rPr>
        <w:t xml:space="preserve">  BUSINESS TRANSFERS</w:t>
      </w:r>
    </w:p>
    <w:p>
      <w:pPr>
        <w:spacing w:after="120" w:line="285"/>
        <w:jc w:val="both"/>
      </w:pPr>
      <w:r>
        <w:rPr>
          <w:rFonts w:ascii="Times New Roman" w:cs="Times New Roman" w:eastAsia="Times New Roman" w:hAnsi="Times New Roman"/>
          <w:sz w:val="20"/>
          <w:szCs w:val="20"/>
        </w:rPr>
        <w:t xml:space="preserve">If CODAFRIQA undergoes a merger, acquisition, restructuring, financing, sale of assets or transfer of the Venttly business, personal data may be transferred as part of that transaction where the law permits. Any such transfer remains subject to applicable data-protection requirements.</w:t>
      </w:r>
    </w:p>
    <w:p>
      <w:pPr>
        <w:keepNext/>
        <w:pBdr>
          <w:bottom w:val="single" w:color="D20D1D" w:sz="6" w:space="5"/>
        </w:pBdr>
        <w:spacing w:after="130" w:before="270"/>
      </w:pPr>
      <w:r>
        <w:rPr>
          <w:rFonts w:ascii="Arial" w:cs="Arial" w:eastAsia="Arial" w:hAnsi="Arial"/>
          <w:b/>
          <w:bCs/>
          <w:color w:val="A6111E"/>
          <w:sz w:val="19"/>
          <w:szCs w:val="19"/>
        </w:rPr>
        <w:t xml:space="preserve">23.</w:t>
      </w:r>
      <w:r>
        <w:rPr>
          <w:rFonts w:ascii="Arial" w:cs="Arial" w:eastAsia="Arial" w:hAnsi="Arial"/>
          <w:b/>
          <w:bCs/>
          <w:color w:val="A6111E"/>
          <w:spacing w:val="12"/>
          <w:sz w:val="19"/>
          <w:szCs w:val="19"/>
        </w:rPr>
        <w:t xml:space="preserve">  THIRD-PARTY WEBSITES</w:t>
      </w:r>
    </w:p>
    <w:p>
      <w:pPr>
        <w:spacing w:after="120" w:line="285"/>
        <w:jc w:val="both"/>
      </w:pPr>
      <w:r>
        <w:rPr>
          <w:rFonts w:ascii="Times New Roman" w:cs="Times New Roman" w:eastAsia="Times New Roman" w:hAnsi="Times New Roman"/>
          <w:sz w:val="20"/>
          <w:szCs w:val="20"/>
        </w:rPr>
        <w:t xml:space="preserve">Venttly may link to third-party services. We do not control their privacy practices, and you should review their policies before providing them with personal information.</w:t>
      </w:r>
    </w:p>
    <w:p>
      <w:pPr>
        <w:keepNext/>
        <w:pBdr>
          <w:bottom w:val="single" w:color="D20D1D" w:sz="6" w:space="5"/>
        </w:pBdr>
        <w:spacing w:after="130" w:before="270"/>
      </w:pPr>
      <w:r>
        <w:rPr>
          <w:rFonts w:ascii="Arial" w:cs="Arial" w:eastAsia="Arial" w:hAnsi="Arial"/>
          <w:b/>
          <w:bCs/>
          <w:color w:val="A6111E"/>
          <w:sz w:val="19"/>
          <w:szCs w:val="19"/>
        </w:rPr>
        <w:t xml:space="preserve">24.</w:t>
      </w:r>
      <w:r>
        <w:rPr>
          <w:rFonts w:ascii="Arial" w:cs="Arial" w:eastAsia="Arial" w:hAnsi="Arial"/>
          <w:b/>
          <w:bCs/>
          <w:color w:val="A6111E"/>
          <w:spacing w:val="12"/>
          <w:sz w:val="19"/>
          <w:szCs w:val="19"/>
        </w:rPr>
        <w:t xml:space="preserve">  CHANGES TO THIS POLICY</w:t>
      </w:r>
    </w:p>
    <w:p>
      <w:pPr>
        <w:spacing w:after="120" w:line="285"/>
        <w:jc w:val="both"/>
      </w:pPr>
      <w:r>
        <w:rPr>
          <w:rFonts w:ascii="Times New Roman" w:cs="Times New Roman" w:eastAsia="Times New Roman" w:hAnsi="Times New Roman"/>
          <w:sz w:val="20"/>
          <w:szCs w:val="20"/>
        </w:rPr>
        <w:t xml:space="preserve">We may update this Policy from time to time. Where changes materially affect how we process personal data, we will give appropriate notice and, where the law requires, seek further consent. The version and effective date at the top of this Policy identify the current version.</w:t>
      </w:r>
    </w:p>
    <w:p>
      <w:pPr>
        <w:keepNext/>
        <w:pBdr>
          <w:bottom w:val="single" w:color="D20D1D" w:sz="6" w:space="5"/>
        </w:pBdr>
        <w:spacing w:after="130" w:before="270"/>
      </w:pPr>
      <w:r>
        <w:rPr>
          <w:rFonts w:ascii="Arial" w:cs="Arial" w:eastAsia="Arial" w:hAnsi="Arial"/>
          <w:b/>
          <w:bCs/>
          <w:color w:val="A6111E"/>
          <w:sz w:val="19"/>
          <w:szCs w:val="19"/>
        </w:rPr>
        <w:t xml:space="preserve">25.</w:t>
      </w:r>
      <w:r>
        <w:rPr>
          <w:rFonts w:ascii="Arial" w:cs="Arial" w:eastAsia="Arial" w:hAnsi="Arial"/>
          <w:b/>
          <w:bCs/>
          <w:color w:val="A6111E"/>
          <w:spacing w:val="12"/>
          <w:sz w:val="19"/>
          <w:szCs w:val="19"/>
        </w:rPr>
        <w:t xml:space="preserve">  COMPLAINTS</w:t>
      </w:r>
    </w:p>
    <w:p>
      <w:pPr>
        <w:spacing w:after="120" w:line="285"/>
        <w:jc w:val="both"/>
      </w:pPr>
      <w:r>
        <w:rPr>
          <w:rFonts w:ascii="Times New Roman" w:cs="Times New Roman" w:eastAsia="Times New Roman" w:hAnsi="Times New Roman"/>
          <w:sz w:val="20"/>
          <w:szCs w:val="20"/>
        </w:rPr>
        <w:t xml:space="preserve">If you believe we have processed your personal data unlawfully, please contact us first at [PRIVACY EMAIL]. You also have the right to lodge a complaint with Rwanda’s Data Protection and Privacy Office under the National Cyber Security Authority — toll-free 9080, dpp@dpo.gov.rw.</w:t>
      </w:r>
    </w:p>
    <w:p>
      <w:pPr>
        <w:keepNext/>
        <w:pBdr>
          <w:bottom w:val="single" w:color="D20D1D" w:sz="6" w:space="5"/>
        </w:pBdr>
        <w:spacing w:after="130" w:before="270"/>
      </w:pPr>
      <w:r>
        <w:rPr>
          <w:rFonts w:ascii="Arial" w:cs="Arial" w:eastAsia="Arial" w:hAnsi="Arial"/>
          <w:b/>
          <w:bCs/>
          <w:color w:val="A6111E"/>
          <w:sz w:val="19"/>
          <w:szCs w:val="19"/>
        </w:rPr>
        <w:t xml:space="preserve">26.</w:t>
      </w:r>
      <w:r>
        <w:rPr>
          <w:rFonts w:ascii="Arial" w:cs="Arial" w:eastAsia="Arial" w:hAnsi="Arial"/>
          <w:b/>
          <w:bCs/>
          <w:color w:val="A6111E"/>
          <w:spacing w:val="12"/>
          <w:sz w:val="19"/>
          <w:szCs w:val="19"/>
        </w:rPr>
        <w:t xml:space="preserve">  CONTACT</w:t>
      </w:r>
    </w:p>
    <w:p>
      <w:pPr>
        <w:spacing w:after="0" w:line="285"/>
        <w:jc w:val="both"/>
      </w:pPr>
      <w:r>
        <w:rPr>
          <w:rFonts w:ascii="Times New Roman" w:cs="Times New Roman" w:eastAsia="Times New Roman" w:hAnsi="Times New Roman"/>
          <w:sz w:val="20"/>
          <w:szCs w:val="20"/>
        </w:rPr>
        <w:t xml:space="preserve">CODAFRIQA LTD — Data Controller for Venttly
Akintwari, Kibagabaga, Kimironko Sector, Gasabo District, Kigali City, Republic of Rwanda
Data Protection Officer: URAYENEZA Dian King — king.dian@codafriqa.rw
Privacy: [PRIVACY EMAIL]   |   Legal: [LEGAL EMAIL]   |   Support: [SUPPORT EMAIL]</w:t>
      </w:r>
    </w:p>
    <w:sectPr>
      <w:footerReference w:type="default" r:id="rId7"/>
      <w:pgSz w:w="11906" w:h="16838" w:orient="portrait"/>
      <w:pgMar w:top="1224" w:right="1367" w:bottom="1152" w:left="136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20D1D" w:sz="4" w:space="6"/>
      </w:pBdr>
      <w:tabs>
        <w:tab w:val="right" w:pos="9026"/>
      </w:tabs>
    </w:pPr>
    <w:r>
      <w:rPr>
        <w:rFonts w:ascii="Arial" w:cs="Arial" w:eastAsia="Arial" w:hAnsi="Arial"/>
        <w:color w:val="595959"/>
        <w:sz w:val="14"/>
        <w:szCs w:val="14"/>
      </w:rPr>
      <w:t xml:space="preserve">Venttly Privacy Policy  ·  Version 1.0  ·  CODAFRIQA LTD</w:t>
    </w:r>
    <w:r>
      <w:rPr>
        <w:rFonts w:ascii="Arial" w:cs="Arial" w:eastAsia="Arial" w:hAnsi="Arial"/>
        <w:sz w:val="14"/>
        <w:szCs w:val="14"/>
      </w:rPr>
      <w:t xml:space="preserve">	</w:t>
    </w:r>
    <w:r>
      <w:rPr>
        <w:rFonts w:ascii="Arial" w:cs="Arial" w:eastAsia="Arial" w:hAnsi="Arial"/>
        <w:color w:val="595959"/>
        <w:sz w:val="14"/>
        <w:szCs w:val="14"/>
      </w:rPr>
      <w:t xml:space="preserve">Page </w:t>
    </w:r>
    <w:r>
      <w:rPr>
        <w:rFonts w:ascii="Arial" w:cs="Arial" w:eastAsia="Arial" w:hAnsi="Arial"/>
        <w:color w:val="595959"/>
        <w:sz w:val="14"/>
        <w:szCs w:val="14"/>
      </w:rPr>
      <w:fldChar w:fldCharType="begin"/>
      <w:instrText xml:space="preserve">PAGE</w:instrText>
      <w:fldChar w:fldCharType="separate"/>
      <w:fldChar w:fldCharType="end"/>
    </w:r>
    <w:r>
      <w:rPr>
        <w:rFonts w:ascii="Arial" w:cs="Arial" w:eastAsia="Arial" w:hAnsi="Arial"/>
        <w:color w:val="595959"/>
        <w:sz w:val="14"/>
        <w:szCs w:val="14"/>
      </w:rPr>
      <w:t xml:space="preserve"> of </w:t>
    </w:r>
    <w:r>
      <w:rPr>
        <w:rFonts w:ascii="Arial" w:cs="Arial" w:eastAsia="Arial" w:hAnsi="Arial"/>
        <w:color w:val="595959"/>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3" w:hanging="259"/>
      </w:pPr>
      <w:rPr>
        <w:rFonts w:ascii="Times New Roman" w:cs="Times New Roman" w:eastAsia="Times New Roman" w:hAnsi="Times New Roman"/>
        <w:color w:val="595959"/>
        <w:sz w:val="21"/>
        <w:szCs w:val="21"/>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f25cc52fe683d2c2799826edca6f14d3e9bbb5fe.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Venttly — Privacy Policy, Version 1.0</dc:title>
  <dc:creator>CODAFRIQA LTD</dc:creator>
  <dc:description>How CODAFRIQA LTD processes personal data on the Venttly platform</dc:description>
  <cp:lastModifiedBy>Un-named</cp:lastModifiedBy>
  <cp:revision>1</cp:revision>
  <dcterms:created xsi:type="dcterms:W3CDTF">2026-09-28T10:55:26.418Z</dcterms:created>
  <dcterms:modified xsi:type="dcterms:W3CDTF">2026-09-28T10:55:26.418Z</dcterms:modified>
</cp:coreProperties>
</file>

<file path=docProps/custom.xml><?xml version="1.0" encoding="utf-8"?>
<Properties xmlns="http://schemas.openxmlformats.org/officeDocument/2006/custom-properties" xmlns:vt="http://schemas.openxmlformats.org/officeDocument/2006/docPropsVTypes"/>
</file>