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ab/>
        <w:tab/>
        <w:t>Hill, Wong and Armstrong</w:t>
        <w:br/>
        <w:tab/>
        <w:tab/>
        <w:tab/>
        <w:tab/>
        <w:tab/>
        <w:tab/>
        <w:t>Kara Rodriguez</w:t>
        <w:br/>
        <w:tab/>
        <w:tab/>
        <w:tab/>
        <w:tab/>
        <w:tab/>
        <w:tab/>
        <w:t>Albert Trafficway 692</w:t>
        <w:br/>
        <w:tab/>
        <w:tab/>
        <w:tab/>
        <w:tab/>
        <w:tab/>
        <w:tab/>
        <w:t>16407Lake Pamela</w:t>
        <w:br/>
        <w:tab/>
        <w:tab/>
        <w:tab/>
        <w:tab/>
        <w:tab/>
        <w:tab/>
        <w:t>Cameroon</w:t>
      </w:r>
    </w:p>
    <w:p/>
    <w:p>
      <w:pPr>
        <w:jc w:val="right"/>
      </w:pPr>
      <w:r>
        <w:t>Brussels, October 30, 2024</w:t>
      </w:r>
    </w:p>
    <w:p/>
    <w:p>
      <w:r>
        <w:t>Reference: 30-10-24-1</w:t>
      </w:r>
    </w:p>
    <w:p/>
    <w:p>
      <w:pPr>
        <w:jc w:val="left"/>
      </w:pPr>
      <w:r>
        <w:t>Dear Mme Kara Rodriguez,</w:t>
      </w:r>
    </w:p>
    <w:p>
      <w:r>
        <w:t xml:space="preserve">Suite à notre visite de votre bâtiment situé Rue du Trône 42 à 1050 Ixelles Brussels, nous avons le plaisir de vous soumettre notre offre: </w:t>
      </w:r>
    </w:p>
    <w:p>
      <w:pPr>
        <w:pStyle w:val="Heading1"/>
      </w:pPr>
      <w:r>
        <w:t>Description des travaux</w:t>
      </w:r>
    </w:p>
    <w:p>
      <w:r>
        <w:t>Sed vitae urna non enim vehicula vehicula. Nulla 77 gravida gravida velit, eget molestie lacus malesuada sit amet. Donec malesuada 563 felis ac vehicula gravida. In fermentum tellus nec dui sagittis faucibus. Cras sed ipsum tincidunt, volutpat nisi ut, tincidunt erat. Nam non arcu vel mauris facilisis malesuada at sed nunc. Proin suscipit magna sit amet diam aliquam, sit amet lacinia neque consequat. 65 Pellentesque quis nulla sit amet odio facilisis convallis at et lorem. Fusce vehicula felis velit, sit amet facilisis erat iaculis in. Vestibulum ante ipsum primis in faucibus orci luctus et ultrices posuere cubilia curae.</w:t>
      </w:r>
    </w:p>
    <w:p>
      <w:pPr>
        <w:pStyle w:val="Heading1"/>
      </w:pPr>
      <w:r>
        <w:t>Schema des travaux</w:t>
      </w:r>
    </w:p>
    <w:p>
      <w:r>
        <w:drawing>
          <wp:inline xmlns:a="http://schemas.openxmlformats.org/drawingml/2006/main" xmlns:pic="http://schemas.openxmlformats.org/drawingml/2006/picture">
            <wp:extent cx="2687137" cy="1828800"/>
            <wp:docPr id="2" name="Picture 2"/>
            <wp:cNvGraphicFramePr>
              <a:graphicFrameLocks noChangeAspect="1"/>
            </wp:cNvGraphicFramePr>
            <a:graphic>
              <a:graphicData uri="http://schemas.openxmlformats.org/drawingml/2006/picture">
                <pic:pic>
                  <pic:nvPicPr>
                    <pic:cNvPr id="0" name="schema 30-10-24-1.jpg"/>
                    <pic:cNvPicPr/>
                  </pic:nvPicPr>
                  <pic:blipFill>
                    <a:blip r:embed="rId10"/>
                    <a:stretch>
                      <a:fillRect/>
                    </a:stretch>
                  </pic:blipFill>
                  <pic:spPr>
                    <a:xfrm>
                      <a:off x="0" y="0"/>
                      <a:ext cx="2687137" cy="1828800"/>
                    </a:xfrm>
                    <a:prstGeom prst="rect"/>
                  </pic:spPr>
                </pic:pic>
              </a:graphicData>
            </a:graphic>
          </wp:inline>
        </w:drawing>
      </w:r>
    </w:p>
    <w:p>
      <w:pPr>
        <w:pStyle w:val="Heading1"/>
      </w:pPr>
      <w:r>
        <w:t>Bill of Materials</w:t>
      </w:r>
    </w:p>
    <w:p>
      <w:r>
        <w:t>| description    |   Unit Price | qty   | discount   |   line price |</w:t>
        <w:br/>
        <w:t>|----------------+--------------+-------+------------+--------------|</w:t>
        <w:br/>
        <w:t>| High-pressure  |      80.00 € | 8     | 10 %       |     576.00 € |</w:t>
        <w:br/>
        <w:t>| sewer cleaning |              |       |            |              |</w:t>
        <w:br/>
        <w:t>| (per meter)    |              |       |            |              |</w:t>
        <w:br/>
        <w:t>| -----          |        ----- | ---   | -----      |        ----- |</w:t>
        <w:br/>
        <w:t>|                |              |       | Total HTVA |     576.00 € |</w:t>
        <w:br/>
        <w:t>|                |              |       | TVA        |     120.96 € |</w:t>
        <w:br/>
        <w:t>|                |              |       | Total TVAC |     696.96 €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