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8939EE" w14:textId="53DC72FB" w:rsidR="00F4079E" w:rsidRPr="00780A04" w:rsidRDefault="00780A04">
      <w:pPr>
        <w:rPr>
          <w:rFonts w:ascii="Tox Typewriter" w:hAnsi="Tox Typewriter" w:cs="Calibri"/>
        </w:rPr>
      </w:pPr>
      <w:r w:rsidRPr="00780A04">
        <w:rPr>
          <w:rFonts w:ascii="Tox Typewriter" w:hAnsi="Tox Typewriter"/>
        </w:rPr>
        <w:t>Laborbericht Nr. 0</w:t>
      </w:r>
      <w:r w:rsidR="00524DFF">
        <w:rPr>
          <w:rFonts w:ascii="Tox Typewriter" w:hAnsi="Tox Typewriter"/>
        </w:rPr>
        <w:t>4</w:t>
      </w:r>
      <w:r w:rsidRPr="00780A04">
        <w:rPr>
          <w:rFonts w:ascii="Tox Typewriter" w:hAnsi="Tox Typewriter"/>
        </w:rPr>
        <w:t xml:space="preserve"> zur Uhr</w:t>
      </w:r>
      <w:r>
        <w:rPr>
          <w:rFonts w:ascii="Tox Typewriter" w:hAnsi="Tox Typewriter"/>
        </w:rPr>
        <w:t xml:space="preserve"> </w:t>
      </w:r>
      <w:r w:rsidR="00524DFF">
        <w:rPr>
          <w:rFonts w:ascii="Tox Typewriter" w:hAnsi="Tox Typewriter"/>
        </w:rPr>
        <w:t>Landgraf</w:t>
      </w:r>
      <w:r w:rsidR="00D52ADD">
        <w:rPr>
          <w:rFonts w:ascii="Tox Typewriter" w:hAnsi="Tox Typewriter"/>
        </w:rPr>
        <w:t xml:space="preserve"> </w:t>
      </w:r>
      <w:r>
        <w:rPr>
          <w:rFonts w:ascii="Tox Typewriter" w:hAnsi="Tox Typewriter"/>
        </w:rPr>
        <w:t>- Innenleben</w:t>
      </w:r>
      <w:r w:rsidRPr="00780A04">
        <w:rPr>
          <w:rFonts w:ascii="Tox Typewriter" w:eastAsia="ＭＳ 明朝" w:hAnsi="Tox Typewriter" w:cs="ＭＳ 明朝"/>
        </w:rPr>
        <w:br/>
        <w:t>Alexander Doppler</w:t>
      </w:r>
      <w:r w:rsidR="00D52ADD">
        <w:rPr>
          <w:rFonts w:ascii="Tox Typewriter" w:eastAsia="ＭＳ 明朝" w:hAnsi="Tox Typewriter" w:cs="ＭＳ 明朝"/>
        </w:rPr>
        <w:t xml:space="preserve"> und Maximilian Lanzinger</w:t>
      </w:r>
    </w:p>
    <w:p w14:paraId="3E4804A0" w14:textId="77777777" w:rsidR="00780A04" w:rsidRPr="00780A04" w:rsidRDefault="00780A04">
      <w:pPr>
        <w:rPr>
          <w:rFonts w:ascii="Tox Typewriter" w:hAnsi="Tox Typewriter" w:cs="Calibri"/>
        </w:rPr>
      </w:pPr>
    </w:p>
    <w:p w14:paraId="6FC4C862" w14:textId="31DFB710" w:rsidR="00780A04" w:rsidRDefault="00780A04">
      <w:pPr>
        <w:rPr>
          <w:rFonts w:ascii="Tox Typewriter" w:hAnsi="Tox Typewriter" w:cs="Calibri"/>
        </w:rPr>
      </w:pPr>
      <w:r w:rsidRPr="00780A04">
        <w:rPr>
          <w:rFonts w:ascii="Tox Typewriter" w:hAnsi="Tox Typewriter" w:cs="Calibri"/>
        </w:rPr>
        <w:t>München, den 0</w:t>
      </w:r>
      <w:r w:rsidR="00524DFF">
        <w:rPr>
          <w:rFonts w:ascii="Tox Typewriter" w:hAnsi="Tox Typewriter" w:cs="Calibri"/>
        </w:rPr>
        <w:t>5</w:t>
      </w:r>
      <w:r w:rsidRPr="00780A04">
        <w:rPr>
          <w:rFonts w:ascii="Tox Typewriter" w:hAnsi="Tox Typewriter" w:cs="Calibri"/>
        </w:rPr>
        <w:t xml:space="preserve">.05.1882, </w:t>
      </w:r>
      <w:r w:rsidR="00524DFF">
        <w:rPr>
          <w:rFonts w:ascii="Tox Typewriter" w:hAnsi="Tox Typewriter" w:cs="Calibri"/>
        </w:rPr>
        <w:t>13</w:t>
      </w:r>
      <w:r w:rsidRPr="00780A04">
        <w:rPr>
          <w:rFonts w:ascii="Tox Typewriter" w:hAnsi="Tox Typewriter" w:cs="Calibri"/>
        </w:rPr>
        <w:t>:</w:t>
      </w:r>
      <w:r w:rsidR="00524DFF">
        <w:rPr>
          <w:rFonts w:ascii="Tox Typewriter" w:hAnsi="Tox Typewriter" w:cs="Calibri"/>
        </w:rPr>
        <w:t>05</w:t>
      </w:r>
      <w:r w:rsidRPr="00780A04">
        <w:rPr>
          <w:rFonts w:ascii="Tox Typewriter" w:hAnsi="Tox Typewriter" w:cs="Calibri"/>
        </w:rPr>
        <w:t xml:space="preserve"> Uhr</w:t>
      </w:r>
    </w:p>
    <w:p w14:paraId="3858040C" w14:textId="77777777" w:rsidR="00780A04" w:rsidRDefault="00780A04">
      <w:pPr>
        <w:rPr>
          <w:rFonts w:ascii="Tox Typewriter" w:hAnsi="Tox Typewriter" w:cs="Calibri"/>
        </w:rPr>
      </w:pPr>
    </w:p>
    <w:p w14:paraId="28401B9A" w14:textId="7C2DEDEB" w:rsidR="00D52ADD" w:rsidRPr="00D52ADD" w:rsidRDefault="00780A04" w:rsidP="00524DFF">
      <w:pPr>
        <w:rPr>
          <w:rFonts w:ascii="Calibri" w:hAnsi="Calibri" w:cs="Calibri"/>
        </w:rPr>
      </w:pPr>
      <w:r>
        <w:rPr>
          <w:rFonts w:ascii="Tox Typewriter" w:hAnsi="Tox Typewriter" w:cs="Calibri"/>
        </w:rPr>
        <w:t xml:space="preserve">Nach Bericht Nr. </w:t>
      </w:r>
      <w:r w:rsidR="00524DFF">
        <w:rPr>
          <w:rFonts w:ascii="Tox Typewriter" w:hAnsi="Tox Typewriter" w:cs="Calibri"/>
        </w:rPr>
        <w:t xml:space="preserve">03 wurde zum Vergleich die Uhr Landgraf zum zweiten Mal geöffnet und genauer betrachtet. Das Innenleben bleibt in seiner Struktur gleich (Abb. 1), doch zeigen sich Änderungen einmal im Takt der Uhr, der nach Aussage Hans Landgraf (Verhör Nr. 03), im Takt schlägt, sobald die Uhr per Hand aufgezogen wurde. Dabei gibt es, nach weiterer Aussage, unterschiede im Tempo der Zeit. Also stellt der Sekundenzeiger keinen einheitlichen Wert </w:t>
      </w:r>
      <w:r w:rsidR="007F4932">
        <w:rPr>
          <w:rFonts w:ascii="Tox Typewriter" w:hAnsi="Tox Typewriter" w:cs="Calibri"/>
        </w:rPr>
        <w:t xml:space="preserve">der Sekunde </w:t>
      </w:r>
      <w:r w:rsidR="00524DFF">
        <w:rPr>
          <w:rFonts w:ascii="Tox Typewriter" w:hAnsi="Tox Typewriter" w:cs="Calibri"/>
        </w:rPr>
        <w:t>dar, sondern ist abhängig von der Art und Dauer des Aufziehens</w:t>
      </w:r>
      <w:r w:rsidR="007F4932">
        <w:rPr>
          <w:rFonts w:ascii="Tox Typewriter" w:hAnsi="Tox Typewriter" w:cs="Calibri"/>
        </w:rPr>
        <w:t xml:space="preserve"> </w:t>
      </w:r>
      <w:r w:rsidR="007F4932">
        <w:rPr>
          <w:rFonts w:ascii="Tox Typewriter" w:hAnsi="Tox Typewriter" w:cs="Calibri"/>
        </w:rPr>
        <w:t>(Verhör Nr. 0</w:t>
      </w:r>
      <w:r w:rsidR="007F4932">
        <w:rPr>
          <w:rFonts w:ascii="Tox Typewriter" w:hAnsi="Tox Typewriter" w:cs="Calibri"/>
        </w:rPr>
        <w:t>4</w:t>
      </w:r>
      <w:r w:rsidR="007F4932">
        <w:rPr>
          <w:rFonts w:ascii="Tox Typewriter" w:hAnsi="Tox Typewriter" w:cs="Calibri"/>
        </w:rPr>
        <w:t>)</w:t>
      </w:r>
      <w:r w:rsidR="00524DFF">
        <w:rPr>
          <w:rFonts w:ascii="Tox Typewriter" w:hAnsi="Tox Typewriter" w:cs="Calibri"/>
        </w:rPr>
        <w:t>.</w:t>
      </w:r>
    </w:p>
    <w:p w14:paraId="1A7FE7EB" w14:textId="11898008" w:rsidR="00780A04" w:rsidRDefault="007F4932">
      <w:pPr>
        <w:rPr>
          <w:rFonts w:ascii="Tox Typewriter" w:hAnsi="Tox Typewriter" w:cs="Calibri"/>
        </w:rPr>
      </w:pPr>
      <w:r>
        <w:rPr>
          <w:rFonts w:ascii="Tox Typewriter" w:hAnsi="Tox Typewriter" w:cs="Calibri"/>
        </w:rPr>
        <w:t xml:space="preserve">Auf dem Sekundenrad fand sich das Kanji </w:t>
      </w:r>
      <w:r w:rsidRPr="007F4932">
        <w:rPr>
          <w:rFonts w:ascii="Tox Typewriter" w:hAnsi="Tox Typewriter" w:cs="Calibri" w:hint="eastAsia"/>
        </w:rPr>
        <w:t>脳</w:t>
      </w:r>
      <w:r>
        <w:rPr>
          <w:rFonts w:ascii="Tox Typewriter" w:hAnsi="Tox Typewriter" w:cs="Calibri"/>
        </w:rPr>
        <w:t xml:space="preserve"> (Abb. 2) für Verstand oder Gehirn. Die Unruhewellen waren mit </w:t>
      </w:r>
      <w:r w:rsidRPr="007F4932">
        <w:rPr>
          <w:rFonts w:ascii="Tox Typewriter" w:hAnsi="Tox Typewriter" w:cs="Calibri" w:hint="eastAsia"/>
        </w:rPr>
        <w:t>心</w:t>
      </w:r>
      <w:r>
        <w:rPr>
          <w:rFonts w:ascii="Tox Typewriter" w:hAnsi="Tox Typewriter" w:cs="Calibri"/>
        </w:rPr>
        <w:t xml:space="preserve"> (Abb. 3) versehen, Herz. Das Entziffern der Kanji rund um das Gehäuseinnere (Abb. 4) dauert noch an, doch es wird häufig </w:t>
      </w:r>
      <w:r w:rsidRPr="007F4932">
        <w:rPr>
          <w:rFonts w:ascii="Tox Typewriter" w:hAnsi="Tox Typewriter" w:cs="Calibri" w:hint="eastAsia"/>
        </w:rPr>
        <w:t>神</w:t>
      </w:r>
      <w:r>
        <w:rPr>
          <w:rFonts w:ascii="Tox Typewriter" w:hAnsi="Tox Typewriter" w:cs="Calibri"/>
        </w:rPr>
        <w:t xml:space="preserve"> für Gott oder Geist beschrieben.</w:t>
      </w:r>
    </w:p>
    <w:p w14:paraId="47C18F46" w14:textId="7B6A4405" w:rsidR="007F4932" w:rsidRDefault="007F4932">
      <w:pPr>
        <w:rPr>
          <w:rFonts w:ascii="Tox Typewriter" w:hAnsi="Tox Typewriter" w:cs="Calibri"/>
        </w:rPr>
      </w:pPr>
      <w:r>
        <w:rPr>
          <w:rFonts w:ascii="Tox Typewriter" w:hAnsi="Tox Typewriter" w:cs="Calibri"/>
        </w:rPr>
        <w:t>Es lässt sich darauf schliessen, dass die Kanji für die Funktionalität der Uhr erforderlich sind, bzw., ähnlich wie ein Ritualkreis, die Macht oder Energie entfesseln können. In der buddhistischen Lehre sind das Herz und der Verstand eng verbunden und könnte so weitere Hinweise auf die prominent angebrachten Kanji auf den wesentlichen Teilen der Uhr hinweisen.</w:t>
      </w:r>
    </w:p>
    <w:p w14:paraId="08B9B48D" w14:textId="643A3027" w:rsidR="007F4932" w:rsidRPr="007F4932" w:rsidRDefault="007F4932">
      <w:pPr>
        <w:rPr>
          <w:rFonts w:ascii="Calibri" w:hAnsi="Calibri" w:cs="Calibri"/>
        </w:rPr>
      </w:pPr>
      <w:r>
        <w:rPr>
          <w:rFonts w:ascii="Tox Typewriter" w:hAnsi="Tox Typewriter" w:cs="Calibri"/>
        </w:rPr>
        <w:t xml:space="preserve">Es wird notwendig sein, einen diskreten Experten der Japanologie aufzusuchen, oder direkt in das Land zu reisen, falls hier kein Dämonenexperte gefunden werden kann. Die Kontakte der Custodire Popolum werden bereits durchsucht, doch Helene Berthold weisst auf nicht existierende Verbindung zu fernöstlichen Geheimbünden hin. Falls diese in ähnlicher Form überhaupt existieren. </w:t>
      </w:r>
      <w:r w:rsidR="00E66D59">
        <w:rPr>
          <w:rFonts w:ascii="Tox Typewriter" w:hAnsi="Tox Typewriter" w:cs="Calibri"/>
        </w:rPr>
        <w:t>Ebenfalls weisst Hans Landgraf (Verhör Nr. 01) auf die Verbindung des Deutschen Reiches mit Japan in der Zukunft hin.</w:t>
      </w:r>
    </w:p>
    <w:p w14:paraId="306AB36C" w14:textId="77777777" w:rsidR="00780A04" w:rsidRPr="00780A04" w:rsidRDefault="00780A04">
      <w:pPr>
        <w:rPr>
          <w:rFonts w:ascii="Tox Typewriter" w:hAnsi="Tox Typewriter" w:cs="Calibri"/>
        </w:rPr>
      </w:pPr>
    </w:p>
    <w:sectPr w:rsidR="00780A04" w:rsidRPr="00780A0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Tox Typewriter">
    <w:charset w:val="00"/>
    <w:family w:val="auto"/>
    <w:pitch w:val="variable"/>
    <w:sig w:usb0="00000003" w:usb1="00000000" w:usb2="00000000" w:usb3="00000000" w:csb0="00000001"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A04"/>
    <w:rsid w:val="003C0221"/>
    <w:rsid w:val="00524DFF"/>
    <w:rsid w:val="00762B36"/>
    <w:rsid w:val="00780A04"/>
    <w:rsid w:val="007F4932"/>
    <w:rsid w:val="00956B0D"/>
    <w:rsid w:val="00B851C6"/>
    <w:rsid w:val="00D52ADD"/>
    <w:rsid w:val="00E66D59"/>
    <w:rsid w:val="00F4079E"/>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7CF82"/>
  <w15:chartTrackingRefBased/>
  <w15:docId w15:val="{56CF43AE-8BD0-44E9-B595-4455609C7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de-DE"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245</Words>
  <Characters>1548</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5</cp:revision>
  <dcterms:created xsi:type="dcterms:W3CDTF">2024-11-25T15:49:00Z</dcterms:created>
  <dcterms:modified xsi:type="dcterms:W3CDTF">2024-11-25T17:46:00Z</dcterms:modified>
</cp:coreProperties>
</file>