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**sebagian sudah bisa dipakai** (slice 08). Materi berblok dengan kuis sisipan latihan,</w:t>
      </w:r>
    </w:p>
    <w:p>
      <w:r>
        <w:t>penerbitan materi, berkas aman (kategori ditentukan dari isi berkas, disajikan lewat tautan</w:t>
      </w:r>
    </w:p>
    <w:p>
      <w:r>
        <w:t>bertanda tangan), dan laporan tema per murid sudah jalan serta diuji. Yang **belum** dikerjakan</w:t>
      </w:r>
    </w:p>
    <w:p>
      <w:r>
        <w:t>dan kami sebutkan apa adanya: **layar guru ke perangkat murid** (sinkron konten lewat SSE) — kunci</w:t>
      </w:r>
    </w:p>
    <w:p>
      <w:r>
        <w:t>pengaturannya sudah ada, tetapi penyiaran kontennya belum dibuat.</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 Per 7 Oktober 2026 yang</w:t>
      </w:r>
    </w:p>
    <w:p>
      <w:r>
        <w:t>sudah selesai: mode gelap, mode tim, penilaian AI, rekam diri, avatar + moderasi, dan **ekspor nilai (CSV,</w:t>
      </w:r>
    </w:p>
    <w:p>
      <w:r>
        <w:t>bukan xlsx — alasannya di bagian 12)**; yang belum: cache L1 dan layar guru di perangkat murid.</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