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668255B0"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w:t>
      </w:r>
      <w:r>
        <w:rPr>
          <w:rFonts w:ascii="Times New Roman" w:hAnsi="Times New Roman" w:cs="Times New Roman"/>
          <w:sz w:val="20"/>
          <w:szCs w:val="20"/>
        </w:rPr>
        <w:t xml:space="preserve"> (</w:t>
      </w:r>
      <w:r w:rsidR="007D0380">
        <w:rPr>
          <w:rFonts w:ascii="Times New Roman" w:hAnsi="Times New Roman" w:cs="Times New Roman"/>
          <w:sz w:val="20"/>
          <w:szCs w:val="20"/>
        </w:rPr>
        <w:t>Deep convolution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convolution neural network is often indicated in floating format, which is both time-consuming and power-consuming when be computed. Quantization method can turn activation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sidR="007D0380">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sidR="007D0380">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59B38F70"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 xml:space="preserve">energy-efficient; reconfigurable computing; FPGA; quantization;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16E0D3D1"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 introduced RNN</w:t>
      </w:r>
      <w:r w:rsidR="00DC2561">
        <w:rPr>
          <w:rFonts w:ascii="Times New Roman" w:hAnsi="Times New Roman" w:cs="Times New Roman"/>
          <w:sz w:val="20"/>
          <w:szCs w:val="20"/>
        </w:rPr>
        <w:t xml:space="preserve"> (Recurrent Neural Network)</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and LSTM (Long-Short Stage Memory) acoustic model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 be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for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can be transferred into feature </w:t>
      </w:r>
      <w:r w:rsidR="00A34EC0">
        <w:rPr>
          <w:rFonts w:ascii="Times New Roman" w:hAnsi="Times New Roman" w:cs="Times New Roman"/>
          <w:sz w:val="20"/>
          <w:szCs w:val="20"/>
        </w:rPr>
        <w:t xml:space="preserve">maps or feature matrixes by wave-filtering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CNN model</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then run on these maps 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models. With tiny 3x3</w:t>
      </w:r>
      <w:r w:rsidR="00A34EC0">
        <w:rPr>
          <w:rFonts w:ascii="Times New Roman" w:hAnsi="Times New Roman" w:cs="Times New Roman"/>
          <w:sz w:val="20"/>
          <w:szCs w:val="20"/>
        </w:rPr>
        <w:t xml:space="preserve"> or 5x5 </w:t>
      </w:r>
      <w:r w:rsidR="00A34EC0" w:rsidRPr="00F9196C">
        <w:rPr>
          <w:rFonts w:ascii="Times New Roman" w:hAnsi="Times New Roman" w:cs="Times New Roman"/>
          <w:sz w:val="20"/>
          <w:szCs w:val="20"/>
        </w:rPr>
        <w:t xml:space="preserve">convolution kernels, CNNs can be trained and </w:t>
      </w:r>
      <w:r w:rsidR="006337D9">
        <w:rPr>
          <w:rFonts w:ascii="Times New Roman" w:hAnsi="Times New Roman" w:cs="Times New Roman"/>
          <w:sz w:val="20"/>
          <w:szCs w:val="20"/>
        </w:rPr>
        <w:t>inferenced</w:t>
      </w:r>
      <w:r w:rsidR="00A34EC0" w:rsidRPr="00F9196C">
        <w:rPr>
          <w:rFonts w:ascii="Times New Roman" w:hAnsi="Times New Roman" w:cs="Times New Roman"/>
          <w:sz w:val="20"/>
          <w:szCs w:val="20"/>
        </w:rPr>
        <w:t xml:space="preserve"> </w:t>
      </w:r>
      <w:r w:rsidR="00517329">
        <w:rPr>
          <w:rFonts w:ascii="Times New Roman" w:hAnsi="Times New Roman" w:cs="Times New Roman"/>
          <w:sz w:val="20"/>
          <w:szCs w:val="20"/>
        </w:rPr>
        <w:t xml:space="preserve">that </w:t>
      </w:r>
      <w:r w:rsidR="00A34EC0" w:rsidRPr="00F9196C">
        <w:rPr>
          <w:rFonts w:ascii="Times New Roman" w:hAnsi="Times New Roman" w:cs="Times New Roman"/>
          <w:sz w:val="20"/>
          <w:szCs w:val="20"/>
        </w:rPr>
        <w:t xml:space="preserve">faster than </w:t>
      </w:r>
      <w:r w:rsidR="00A34EC0">
        <w:rPr>
          <w:rFonts w:ascii="Times New Roman" w:hAnsi="Times New Roman" w:cs="Times New Roman"/>
          <w:sz w:val="20"/>
          <w:szCs w:val="20"/>
        </w:rPr>
        <w:t xml:space="preserve">RNN for convoluting operation is easier to be parallelized and accelerated than recurrent computation.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4532E66D"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594950E2"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297A4A40"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convolution neural networks can do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D50B988"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0BD7D023"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w:t>
      </w:r>
      <w:r w:rsidR="0014182D">
        <w:rPr>
          <w:rFonts w:ascii="Times New Roman" w:hAnsi="Times New Roman" w:cs="Times New Roman"/>
          <w:sz w:val="20"/>
          <w:szCs w:val="20"/>
        </w:rPr>
        <w:lastRenderedPageBreak/>
        <w:t>energy efficiency of this 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72B29DBF"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w:t>
      </w:r>
      <w:r w:rsidR="008A14A7">
        <w:rPr>
          <w:rFonts w:ascii="Times New Roman" w:hAnsi="Times New Roman" w:cs="Times New Roman"/>
          <w:sz w:val="20"/>
          <w:szCs w:val="20"/>
        </w:rPr>
        <w:t>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-point format can keep a good balance between computing performance and model accuracy: fix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 less 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72A0BA03" w14:textId="34CC0892"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76E53A1"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185.35pt" o:ole="">
            <v:imagedata r:id="rId10" o:title=""/>
          </v:shape>
          <o:OLEObject Type="Embed" ProgID="Visio.Drawing.15" ShapeID="_x0000_i1025" DrawAspect="Content" ObjectID="_1661082342"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05pt;height:233.2pt" o:ole="">
            <v:imagedata r:id="rId12" o:title=""/>
          </v:shape>
          <o:OLEObject Type="Embed" ProgID="Visio.Drawing.15" ShapeID="_x0000_i1026" DrawAspect="Content" ObjectID="_1661082343"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43378A45"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 xml:space="preserve">result, activation and other hyper-parameter (such as bias and </w:t>
      </w:r>
      <w:r>
        <w:rPr>
          <w:rFonts w:ascii="Times New Roman" w:hAnsi="Times New Roman" w:cs="Times New Roman"/>
          <w:sz w:val="20"/>
          <w:szCs w:val="20"/>
        </w:rPr>
        <w:t>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lastRenderedPageBreak/>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in another word,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turn </w:t>
      </w:r>
      <w:r w:rsidR="0038472B">
        <w:rPr>
          <w:rFonts w:ascii="Times New Roman" w:hAnsi="Times New Roman" w:cs="Times New Roman"/>
          <w:sz w:val="20"/>
          <w:szCs w:val="20"/>
        </w:rPr>
        <w:t>intermediate result</w:t>
      </w:r>
      <w:r w:rsidR="00EB267E">
        <w:rPr>
          <w:rFonts w:ascii="Times New Roman" w:hAnsi="Times New Roman" w:cs="Times New Roman"/>
          <w:sz w:val="20"/>
          <w:szCs w:val="20"/>
        </w:rPr>
        <w:t xml:space="preserve"> and batch-normalized data into fix</w:t>
      </w:r>
      <w:r w:rsidR="00712676">
        <w:rPr>
          <w:rFonts w:ascii="Times New Roman" w:hAnsi="Times New Roman" w:cs="Times New Roman"/>
          <w:sz w:val="20"/>
          <w:szCs w:val="20"/>
        </w:rPr>
        <w:t>ed</w:t>
      </w:r>
      <w:r w:rsidR="00EB267E">
        <w:rPr>
          <w:rFonts w:ascii="Times New Roman" w:hAnsi="Times New Roman" w:cs="Times New Roman"/>
          <w:sz w:val="20"/>
          <w:szCs w:val="20"/>
        </w:rPr>
        <w:t>-point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421E8ADD"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 xml:space="preserve">real condition of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 xml:space="preserve">-point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53D76">
        <w:rPr>
          <w:rFonts w:ascii="Times New Roman" w:hAnsi="Times New Roman" w:cs="Times New Roman"/>
          <w:sz w:val="20"/>
          <w:szCs w:val="20"/>
        </w:rPr>
        <w: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E9F2800"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B341A7">
        <w:rPr>
          <w:rFonts w:ascii="Times New Roman" w:hAnsi="Times New Roman" w:cs="Times New Roman"/>
          <w:sz w:val="20"/>
          <w:szCs w:val="20"/>
        </w:rPr>
        <w:t xml:space="preserve">, we need to find a quantization format for </w:t>
      </w:r>
      <w:r w:rsidR="0038472B">
        <w:rPr>
          <w:rFonts w:ascii="Times New Roman" w:hAnsi="Times New Roman" w:cs="Times New Roman"/>
          <w:sz w:val="20"/>
          <w:szCs w:val="20"/>
        </w:rPr>
        <w:t>intermediate result</w:t>
      </w:r>
      <w:r w:rsidR="00B341A7">
        <w:rPr>
          <w:rFonts w:ascii="Times New Roman" w:hAnsi="Times New Roman" w:cs="Times New Roman"/>
          <w:sz w:val="20"/>
          <w:szCs w:val="20"/>
        </w:rPr>
        <w: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w:t>
      </w:r>
      <w:r w:rsidR="00617B3D">
        <w:rPr>
          <w:rFonts w:ascii="Times New Roman" w:hAnsi="Times New Roman" w:cs="Times New Roman"/>
          <w:sz w:val="20"/>
          <w:szCs w:val="20"/>
        </w:rPr>
        <w:t xml:space="preserve">corresponding integer bits for </w:t>
      </w:r>
      <w:r w:rsidR="0038472B">
        <w:rPr>
          <w:rFonts w:ascii="Times New Roman" w:hAnsi="Times New Roman" w:cs="Times New Roman"/>
          <w:sz w:val="20"/>
          <w:szCs w:val="20"/>
        </w:rPr>
        <w:t>intermediate result</w:t>
      </w:r>
      <w:r w:rsidR="00617B3D">
        <w:rPr>
          <w:rFonts w:ascii="Times New Roman" w:hAnsi="Times New Roman" w:cs="Times New Roman"/>
          <w:sz w:val="20"/>
          <w:szCs w:val="20"/>
        </w:rPr>
        <w:t xml:space="preserve">,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5C2D1406"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0F780623"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3AA0A2AF"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190CD9F5"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 weight is 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w:t>
      </w:r>
      <w:r w:rsidR="0060691A">
        <w:rPr>
          <w:rFonts w:ascii="Times New Roman" w:hAnsi="Times New Roman" w:cs="Times New Roman"/>
          <w:sz w:val="20"/>
          <w:szCs w:val="20"/>
        </w:rPr>
        <w:lastRenderedPageBreak/>
        <w:t>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w:t>
      </w:r>
      <w:r w:rsidR="00CC457B">
        <w:rPr>
          <w:rFonts w:ascii="Times New Roman" w:hAnsi="Times New Roman" w:cs="Times New Roman"/>
          <w:sz w:val="20"/>
          <w:szCs w:val="20"/>
        </w:rPr>
        <w:t xml:space="preserve">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0C8F2008"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3DCAB772"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lastRenderedPageBreak/>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5612610"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w:t>
      </w:r>
      <w:r>
        <w:rPr>
          <w:rFonts w:ascii="Times New Roman" w:hAnsi="Times New Roman" w:cs="Times New Roman"/>
          <w:sz w:val="20"/>
          <w:szCs w:val="20"/>
        </w:rPr>
        <w:t>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0649E0CA"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Inside one convolution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w:t>
      </w:r>
      <w:r w:rsidR="00BB4AD9">
        <w:rPr>
          <w:rFonts w:ascii="Times New Roman" w:hAnsi="Times New Roman" w:cs="Times New Roman"/>
          <w:sz w:val="20"/>
          <w:szCs w:val="20"/>
        </w:rPr>
        <w:lastRenderedPageBreak/>
        <w:t xml:space="preserve">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w:t>
      </w:r>
      <w:r w:rsidR="00FF6495">
        <w:rPr>
          <w:rFonts w:ascii="Times New Roman" w:hAnsi="Times New Roman" w:cs="Times New Roman"/>
          <w:sz w:val="20"/>
          <w:szCs w:val="20"/>
        </w:rPr>
        <w:t xml:space="preserve">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to reduce the negative 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5.75pt;height:268.1pt" o:ole="">
            <v:imagedata r:id="rId17" o:title=""/>
          </v:shape>
          <o:OLEObject Type="Embed" ProgID="Visio.Drawing.15" ShapeID="_x0000_i1027" DrawAspect="Content" ObjectID="_1661082344"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50C96530"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convolution neural networks such as </w:t>
      </w:r>
      <w:r w:rsidRPr="00F9196C">
        <w:rPr>
          <w:rFonts w:ascii="Times New Roman" w:hAnsi="Times New Roman" w:cs="Times New Roman"/>
          <w:sz w:val="20"/>
          <w:szCs w:val="20"/>
        </w:rPr>
        <w:t>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w:t>
      </w:r>
      <w:r w:rsidR="00231E8B" w:rsidRPr="00F9196C">
        <w:rPr>
          <w:rFonts w:ascii="Times New Roman" w:hAnsi="Times New Roman" w:cs="Times New Roman"/>
          <w:sz w:val="20"/>
          <w:szCs w:val="20"/>
        </w:rPr>
        <w:lastRenderedPageBreak/>
        <w:t xml:space="preserve">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vectors in one macro pipeline period, and in next period these vectors will be sent to Conv-2 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5CCBE1DA"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our neural network model, FC-1 layer </w:t>
      </w:r>
      <w:r>
        <w:rPr>
          <w:rFonts w:ascii="Times New Roman" w:hAnsi="Times New Roman" w:cs="Times New Roman"/>
          <w:sz w:val="20"/>
          <w:szCs w:val="20"/>
        </w:rPr>
        <w:t>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w:t>
      </w:r>
      <w:r w:rsidR="0038472B">
        <w:rPr>
          <w:rFonts w:ascii="Times New Roman" w:hAnsi="Times New Roman" w:cs="Times New Roman"/>
          <w:sz w:val="20"/>
          <w:szCs w:val="20"/>
        </w:rPr>
        <w:t>intermediate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4AE6F3"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drawing>
          <wp:inline distT="0" distB="0" distL="0" distR="0" wp14:anchorId="702F61D4" wp14:editId="3E09BB95">
            <wp:extent cx="5049672" cy="28665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6636" cy="2870460"/>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lastRenderedPageBreak/>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599B5DB3"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w:t>
      </w:r>
      <w:r w:rsidR="00C174E7">
        <w:rPr>
          <w:rFonts w:ascii="Times New Roman" w:hAnsi="Times New Roman" w:cs="Times New Roman"/>
          <w:sz w:val="20"/>
          <w:szCs w:val="20"/>
        </w:rPr>
        <w:t xml:space="preserve">normalization parameter needs 20~21 bits for integer part. This result can help us to determine the upper bound of decimal bitwise. In deep neural networks, activation and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1B98E2F4"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w:t>
      </w:r>
      <w:r w:rsidR="008E751C">
        <w:rPr>
          <w:rFonts w:ascii="Times New Roman" w:hAnsi="Times New Roman" w:cs="Times New Roman"/>
          <w:sz w:val="20"/>
          <w:szCs w:val="20"/>
        </w:rPr>
        <w:t>searching principle, the final result supports our idea effectively.</w:t>
      </w:r>
    </w:p>
    <w:p w14:paraId="32DD6417" w14:textId="2FA866AC"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w:t>
      </w:r>
      <w:r w:rsidR="0038472B">
        <w:rPr>
          <w:rFonts w:ascii="Times New Roman" w:hAnsi="Times New Roman" w:cs="Times New Roman"/>
          <w:sz w:val="20"/>
          <w:szCs w:val="20"/>
        </w:rPr>
        <w:t>intermediate result</w:t>
      </w:r>
      <w:r w:rsidR="000B00FF">
        <w:rPr>
          <w:rFonts w:ascii="Times New Roman" w:hAnsi="Times New Roman" w:cs="Times New Roman"/>
          <w:sz w:val="20"/>
          <w:szCs w:val="20"/>
        </w:rPr>
        <w: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w:t>
      </w:r>
      <w:r w:rsidR="00702EAB">
        <w:rPr>
          <w:rFonts w:ascii="Times New Roman" w:hAnsi="Times New Roman" w:cs="Times New Roman"/>
          <w:sz w:val="20"/>
          <w:szCs w:val="20"/>
        </w:rPr>
        <w:lastRenderedPageBreak/>
        <w:t>(</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2D7797A9"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0294B160"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Matlab code on Intel core i7-8700K with and without multi-thread accelerating library. We </w:t>
      </w:r>
      <w:r>
        <w:rPr>
          <w:rFonts w:ascii="Times New Roman" w:hAnsi="Times New Roman" w:cs="Times New Roman"/>
          <w:sz w:val="20"/>
          <w:szCs w:val="20"/>
        </w:rPr>
        <w:t>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17F658FC"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it is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lastRenderedPageBreak/>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1603E744"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contains 1512 audio files. We only test the running time of neural network’s forwarding part for we do not </w:t>
      </w:r>
      <w:r>
        <w:rPr>
          <w:rFonts w:ascii="Times New Roman" w:hAnsi="Times New Roman" w:cs="Times New Roman"/>
          <w:sz w:val="20"/>
          <w:szCs w:val="20"/>
        </w:rPr>
        <w:t>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CBB53DF"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tomized circuit design and replacing floating data with fix</w:t>
      </w:r>
      <w:r w:rsidR="00712676">
        <w:rPr>
          <w:rFonts w:ascii="Times New Roman" w:hAnsi="Times New Roman" w:cs="Times New Roman"/>
          <w:sz w:val="20"/>
          <w:szCs w:val="20"/>
        </w:rPr>
        <w:t>ed</w:t>
      </w:r>
      <w:r>
        <w:rPr>
          <w:rFonts w:ascii="Times New Roman" w:hAnsi="Times New Roman" w:cs="Times New Roman"/>
          <w:sz w:val="20"/>
          <w:szCs w:val="20"/>
        </w:rPr>
        <w:t xml:space="preserve">-point data, our accelerator has great energy efficiency improvement on this </w:t>
      </w:r>
      <w:r w:rsidR="00AD17B0">
        <w:rPr>
          <w:rFonts w:ascii="Times New Roman" w:hAnsi="Times New Roman" w:cs="Times New Roman"/>
          <w:sz w:val="20"/>
          <w:szCs w:val="20"/>
        </w:rPr>
        <w:t>speech</w:t>
      </w:r>
      <w:r>
        <w:rPr>
          <w:rFonts w:ascii="Times New Roman" w:hAnsi="Times New Roman" w:cs="Times New Roman"/>
          <w:sz w:val="20"/>
          <w:szCs w:val="20"/>
        </w:rPr>
        <w:t xml:space="preserve">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657C3B67"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Convolution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 xml:space="preserve">ry </w:t>
      </w:r>
      <w:r>
        <w:rPr>
          <w:rFonts w:ascii="Times New Roman" w:hAnsi="Times New Roman" w:cs="Times New Roman"/>
          <w:sz w:val="20"/>
          <w:szCs w:val="20"/>
        </w:rPr>
        <w:lastRenderedPageBreak/>
        <w:t>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2D0A7177"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Current state-of-art RNN-based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FE12B5">
        <w:rPr>
          <w:rFonts w:ascii="Times New Roman" w:hAnsi="Times New Roman" w:cs="Times New Roman"/>
          <w:sz w:val="20"/>
          <w:szCs w:val="20"/>
        </w:rPr>
        <w:t>H</w:t>
      </w:r>
      <w:r w:rsidR="00624B7A">
        <w:rPr>
          <w:rFonts w:ascii="Times New Roman" w:hAnsi="Times New Roman" w:cs="Times New Roman"/>
          <w:sz w:val="20"/>
          <w:szCs w:val="20"/>
        </w:rPr>
        <w:t>owever, our BWN-based convolution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C040E5">
        <w:rPr>
          <w:rFonts w:ascii="Times New Roman" w:hAnsi="Times New Roman" w:cs="Times New Roman"/>
          <w:sz w:val="20"/>
          <w:szCs w:val="20"/>
        </w:rPr>
        <w:t>benefitting from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simple architecture, while </w:t>
      </w:r>
      <w:r w:rsidR="0045238E">
        <w:rPr>
          <w:rFonts w:ascii="Times New Roman" w:hAnsi="Times New Roman" w:cs="Times New Roman"/>
          <w:sz w:val="20"/>
          <w:szCs w:val="20"/>
        </w:rPr>
        <w:t xml:space="preserve">RNNs usually </w:t>
      </w:r>
      <w:r w:rsidR="00422ECD">
        <w:rPr>
          <w:rFonts w:ascii="Times New Roman" w:hAnsi="Times New Roman" w:cs="Times New Roman"/>
          <w:sz w:val="20"/>
          <w:szCs w:val="20"/>
        </w:rPr>
        <w:t xml:space="preserve">own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0C42120E"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inary Weight Convolution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130974A6"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4ECB96C9"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Convolution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D4C43FB"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e first optimize a sound classification algorithm based on deep convolution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FF4702">
        <w:rPr>
          <w:rFonts w:ascii="Times New Roman" w:hAnsi="Times New Roman" w:cs="Times New Roman"/>
          <w:sz w:val="20"/>
          <w:szCs w:val="20"/>
        </w:rPr>
        <w:t xml:space="preserve">convolution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state-of-art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w:t>
      </w:r>
      <w:r w:rsidR="00FF4702">
        <w:rPr>
          <w:rFonts w:ascii="Times New Roman" w:hAnsi="Times New Roman" w:cs="Times New Roman"/>
          <w:sz w:val="20"/>
          <w:szCs w:val="20"/>
        </w:rPr>
        <w:lastRenderedPageBreak/>
        <w:t>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Pakyurek M, Atmis M, Kulac S, et al. Extraction of Novel Features Based on Histograms </w:t>
      </w:r>
      <w:r w:rsidRPr="00772141">
        <w:rPr>
          <w:rFonts w:ascii="Times New Roman" w:hAnsi="Times New Roman" w:cs="Times New Roman"/>
          <w:kern w:val="0"/>
          <w:sz w:val="20"/>
          <w:szCs w:val="20"/>
        </w:rPr>
        <w:t>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 xml:space="preserve">vidia. Deep Learning Accelerator[C]. IEEE </w:t>
      </w:r>
      <w:r>
        <w:rPr>
          <w:rFonts w:ascii="Times New Roman" w:hAnsi="Times New Roman" w:cs="Times New Roman"/>
          <w:kern w:val="0"/>
          <w:sz w:val="20"/>
          <w:szCs w:val="20"/>
        </w:rPr>
        <w:lastRenderedPageBreak/>
        <w:t>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K , Schultz S R , Luk W . A Large-Scale Spiking Neural Network Accelerator for FPGA Systems[C]// Proceedings of the 22nd international conference on Artificial Neural Networks and </w:t>
      </w:r>
      <w:r w:rsidRPr="00772141">
        <w:rPr>
          <w:rFonts w:ascii="Times New Roman" w:hAnsi="Times New Roman" w:cs="Times New Roman"/>
          <w:kern w:val="0"/>
          <w:sz w:val="20"/>
          <w:szCs w:val="20"/>
        </w:rPr>
        <w:t>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1B6CC07F"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36218C19" w14:textId="40A9B860"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 Computers, IEEE Transactions on, IEEE Trans Comput [Internet]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w:t>
      </w:r>
      <w:r w:rsidR="00F07F74">
        <w:rPr>
          <w:rFonts w:ascii="Times New Roman" w:hAnsi="Times New Roman" w:cs="Times New Roman"/>
          <w:kern w:val="0"/>
          <w:sz w:val="20"/>
          <w:szCs w:val="20"/>
        </w:rPr>
        <w:lastRenderedPageBreak/>
        <w:t>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648DB4F4"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 Song C, Yi K, Feng W, et al. An Energy-Efficient Systolic Pipeline Architecture for binary Convolutional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80105" w14:textId="77777777" w:rsidR="00582F6D" w:rsidRDefault="00582F6D" w:rsidP="001C3675">
      <w:r>
        <w:separator/>
      </w:r>
    </w:p>
  </w:endnote>
  <w:endnote w:type="continuationSeparator" w:id="0">
    <w:p w14:paraId="78DFB4A5" w14:textId="77777777" w:rsidR="00582F6D" w:rsidRDefault="00582F6D"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C5EB3" w14:textId="77777777" w:rsidR="00582F6D" w:rsidRDefault="00582F6D" w:rsidP="001C3675">
      <w:r>
        <w:separator/>
      </w:r>
    </w:p>
  </w:footnote>
  <w:footnote w:type="continuationSeparator" w:id="0">
    <w:p w14:paraId="3BACE603" w14:textId="77777777" w:rsidR="00582F6D" w:rsidRDefault="00582F6D" w:rsidP="001C3675">
      <w:r>
        <w:continuationSeparator/>
      </w:r>
    </w:p>
  </w:footnote>
  <w:footnote w:id="1">
    <w:p w14:paraId="68FCAA44" w14:textId="2FEA939D" w:rsidR="00222360" w:rsidRPr="003F332B" w:rsidRDefault="00222360">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222360" w:rsidRDefault="00222360"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222360" w:rsidRDefault="00222360"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222360" w:rsidRDefault="00222360"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4527"/>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28D3"/>
    <w:rsid w:val="000669C6"/>
    <w:rsid w:val="000708A1"/>
    <w:rsid w:val="00072DC5"/>
    <w:rsid w:val="00076914"/>
    <w:rsid w:val="0007721E"/>
    <w:rsid w:val="00080235"/>
    <w:rsid w:val="00080AFB"/>
    <w:rsid w:val="00080B1D"/>
    <w:rsid w:val="0008166A"/>
    <w:rsid w:val="00082239"/>
    <w:rsid w:val="00083840"/>
    <w:rsid w:val="00084B44"/>
    <w:rsid w:val="000850ED"/>
    <w:rsid w:val="00086FB0"/>
    <w:rsid w:val="000905FA"/>
    <w:rsid w:val="00091B10"/>
    <w:rsid w:val="0009271C"/>
    <w:rsid w:val="000A0092"/>
    <w:rsid w:val="000A1195"/>
    <w:rsid w:val="000A1698"/>
    <w:rsid w:val="000A3644"/>
    <w:rsid w:val="000A55A4"/>
    <w:rsid w:val="000A5D26"/>
    <w:rsid w:val="000B00FF"/>
    <w:rsid w:val="000B02D4"/>
    <w:rsid w:val="000B0412"/>
    <w:rsid w:val="000B1FD9"/>
    <w:rsid w:val="000B344A"/>
    <w:rsid w:val="000B636C"/>
    <w:rsid w:val="000B6A0C"/>
    <w:rsid w:val="000C1022"/>
    <w:rsid w:val="000C70A6"/>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25BF"/>
    <w:rsid w:val="000F264F"/>
    <w:rsid w:val="000F33FA"/>
    <w:rsid w:val="000F5052"/>
    <w:rsid w:val="00101C0E"/>
    <w:rsid w:val="00103254"/>
    <w:rsid w:val="00106D53"/>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349D"/>
    <w:rsid w:val="00137727"/>
    <w:rsid w:val="0014182D"/>
    <w:rsid w:val="00142D3F"/>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E8"/>
    <w:rsid w:val="001658FB"/>
    <w:rsid w:val="00166B9F"/>
    <w:rsid w:val="00170D01"/>
    <w:rsid w:val="001720E4"/>
    <w:rsid w:val="00173743"/>
    <w:rsid w:val="00173A2A"/>
    <w:rsid w:val="00177C66"/>
    <w:rsid w:val="0018053C"/>
    <w:rsid w:val="0018570E"/>
    <w:rsid w:val="001872CD"/>
    <w:rsid w:val="00190A05"/>
    <w:rsid w:val="00191234"/>
    <w:rsid w:val="0019243B"/>
    <w:rsid w:val="00192D22"/>
    <w:rsid w:val="00193C0F"/>
    <w:rsid w:val="00193C98"/>
    <w:rsid w:val="00193EE7"/>
    <w:rsid w:val="0019443F"/>
    <w:rsid w:val="00195FEA"/>
    <w:rsid w:val="00195FEF"/>
    <w:rsid w:val="001963F1"/>
    <w:rsid w:val="00196F48"/>
    <w:rsid w:val="00197F31"/>
    <w:rsid w:val="001A052B"/>
    <w:rsid w:val="001A1365"/>
    <w:rsid w:val="001A2616"/>
    <w:rsid w:val="001A3B3C"/>
    <w:rsid w:val="001A48C6"/>
    <w:rsid w:val="001A78ED"/>
    <w:rsid w:val="001A7CD5"/>
    <w:rsid w:val="001B050A"/>
    <w:rsid w:val="001B0C48"/>
    <w:rsid w:val="001B0E6D"/>
    <w:rsid w:val="001B0EDA"/>
    <w:rsid w:val="001B1744"/>
    <w:rsid w:val="001B23B7"/>
    <w:rsid w:val="001B29A2"/>
    <w:rsid w:val="001B40FE"/>
    <w:rsid w:val="001B572B"/>
    <w:rsid w:val="001B618A"/>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0396"/>
    <w:rsid w:val="00221994"/>
    <w:rsid w:val="00222360"/>
    <w:rsid w:val="00222A11"/>
    <w:rsid w:val="002236A9"/>
    <w:rsid w:val="002246E7"/>
    <w:rsid w:val="00225C0A"/>
    <w:rsid w:val="00226099"/>
    <w:rsid w:val="00227DA8"/>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4F4"/>
    <w:rsid w:val="00252965"/>
    <w:rsid w:val="00252D8A"/>
    <w:rsid w:val="00253368"/>
    <w:rsid w:val="0025410C"/>
    <w:rsid w:val="00254C2A"/>
    <w:rsid w:val="00267609"/>
    <w:rsid w:val="00270840"/>
    <w:rsid w:val="00271C2B"/>
    <w:rsid w:val="002726D3"/>
    <w:rsid w:val="00273401"/>
    <w:rsid w:val="002759D3"/>
    <w:rsid w:val="0027626D"/>
    <w:rsid w:val="002773B6"/>
    <w:rsid w:val="00283FA2"/>
    <w:rsid w:val="002851AF"/>
    <w:rsid w:val="002863CE"/>
    <w:rsid w:val="002936C5"/>
    <w:rsid w:val="002937D5"/>
    <w:rsid w:val="00295B9A"/>
    <w:rsid w:val="00297802"/>
    <w:rsid w:val="00297A1A"/>
    <w:rsid w:val="002A1A92"/>
    <w:rsid w:val="002A3702"/>
    <w:rsid w:val="002A574F"/>
    <w:rsid w:val="002A632A"/>
    <w:rsid w:val="002A6693"/>
    <w:rsid w:val="002A6903"/>
    <w:rsid w:val="002B034E"/>
    <w:rsid w:val="002B0536"/>
    <w:rsid w:val="002B1083"/>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61B"/>
    <w:rsid w:val="002D3AC0"/>
    <w:rsid w:val="002D4777"/>
    <w:rsid w:val="002D6772"/>
    <w:rsid w:val="002D7417"/>
    <w:rsid w:val="002E24D3"/>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1D9"/>
    <w:rsid w:val="00351FA0"/>
    <w:rsid w:val="00352490"/>
    <w:rsid w:val="00352AB9"/>
    <w:rsid w:val="00353127"/>
    <w:rsid w:val="00353AA0"/>
    <w:rsid w:val="00355D94"/>
    <w:rsid w:val="00356B1F"/>
    <w:rsid w:val="00360189"/>
    <w:rsid w:val="003603EF"/>
    <w:rsid w:val="00361C1B"/>
    <w:rsid w:val="00361FCD"/>
    <w:rsid w:val="003620A2"/>
    <w:rsid w:val="00370E10"/>
    <w:rsid w:val="003739DB"/>
    <w:rsid w:val="00373E6E"/>
    <w:rsid w:val="003757C7"/>
    <w:rsid w:val="00375A14"/>
    <w:rsid w:val="00376089"/>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5802"/>
    <w:rsid w:val="003A06FA"/>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E3"/>
    <w:rsid w:val="003D0661"/>
    <w:rsid w:val="003D17CC"/>
    <w:rsid w:val="003D1914"/>
    <w:rsid w:val="003D1C8E"/>
    <w:rsid w:val="003D2103"/>
    <w:rsid w:val="003D2747"/>
    <w:rsid w:val="003D5104"/>
    <w:rsid w:val="003D575E"/>
    <w:rsid w:val="003D6CAD"/>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ECD"/>
    <w:rsid w:val="00422FCD"/>
    <w:rsid w:val="004254E5"/>
    <w:rsid w:val="00425E45"/>
    <w:rsid w:val="0043048E"/>
    <w:rsid w:val="00434673"/>
    <w:rsid w:val="00436AB8"/>
    <w:rsid w:val="0044221B"/>
    <w:rsid w:val="0044381F"/>
    <w:rsid w:val="004507E5"/>
    <w:rsid w:val="0045238E"/>
    <w:rsid w:val="00454314"/>
    <w:rsid w:val="00454752"/>
    <w:rsid w:val="00455AC2"/>
    <w:rsid w:val="00456347"/>
    <w:rsid w:val="00456A42"/>
    <w:rsid w:val="00460901"/>
    <w:rsid w:val="00465650"/>
    <w:rsid w:val="00466019"/>
    <w:rsid w:val="00466A91"/>
    <w:rsid w:val="00470BDC"/>
    <w:rsid w:val="00473269"/>
    <w:rsid w:val="00474632"/>
    <w:rsid w:val="0047596F"/>
    <w:rsid w:val="00475974"/>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DF9"/>
    <w:rsid w:val="004943B3"/>
    <w:rsid w:val="004947D0"/>
    <w:rsid w:val="00494C52"/>
    <w:rsid w:val="004969B7"/>
    <w:rsid w:val="0049726F"/>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61CD"/>
    <w:rsid w:val="004C6C82"/>
    <w:rsid w:val="004C6F29"/>
    <w:rsid w:val="004C7184"/>
    <w:rsid w:val="004C779F"/>
    <w:rsid w:val="004D5956"/>
    <w:rsid w:val="004E021D"/>
    <w:rsid w:val="004E271B"/>
    <w:rsid w:val="004E2FE0"/>
    <w:rsid w:val="004E6A49"/>
    <w:rsid w:val="004E7A8C"/>
    <w:rsid w:val="004F2C2B"/>
    <w:rsid w:val="004F43FE"/>
    <w:rsid w:val="004F45F6"/>
    <w:rsid w:val="004F4F74"/>
    <w:rsid w:val="004F52CA"/>
    <w:rsid w:val="00500DE3"/>
    <w:rsid w:val="00501296"/>
    <w:rsid w:val="00503682"/>
    <w:rsid w:val="005060D1"/>
    <w:rsid w:val="005121D0"/>
    <w:rsid w:val="00513C34"/>
    <w:rsid w:val="005142CF"/>
    <w:rsid w:val="005151D0"/>
    <w:rsid w:val="005160F1"/>
    <w:rsid w:val="00517329"/>
    <w:rsid w:val="00521095"/>
    <w:rsid w:val="005216E5"/>
    <w:rsid w:val="00522B19"/>
    <w:rsid w:val="0052349D"/>
    <w:rsid w:val="00523580"/>
    <w:rsid w:val="00526D19"/>
    <w:rsid w:val="0053090E"/>
    <w:rsid w:val="0053300B"/>
    <w:rsid w:val="00533288"/>
    <w:rsid w:val="00533CBD"/>
    <w:rsid w:val="00536458"/>
    <w:rsid w:val="00544BF7"/>
    <w:rsid w:val="00551F04"/>
    <w:rsid w:val="0055357E"/>
    <w:rsid w:val="00556760"/>
    <w:rsid w:val="00557725"/>
    <w:rsid w:val="00560547"/>
    <w:rsid w:val="005605B7"/>
    <w:rsid w:val="00567707"/>
    <w:rsid w:val="00570A8A"/>
    <w:rsid w:val="00575198"/>
    <w:rsid w:val="0057541D"/>
    <w:rsid w:val="005810D9"/>
    <w:rsid w:val="005818B7"/>
    <w:rsid w:val="00582F6D"/>
    <w:rsid w:val="00586561"/>
    <w:rsid w:val="00595200"/>
    <w:rsid w:val="005962A6"/>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915"/>
    <w:rsid w:val="005E1967"/>
    <w:rsid w:val="005E1B9C"/>
    <w:rsid w:val="005E2FEC"/>
    <w:rsid w:val="005F283C"/>
    <w:rsid w:val="005F3E7C"/>
    <w:rsid w:val="00600821"/>
    <w:rsid w:val="0060145F"/>
    <w:rsid w:val="00601C39"/>
    <w:rsid w:val="00602CF0"/>
    <w:rsid w:val="0060691A"/>
    <w:rsid w:val="006112B3"/>
    <w:rsid w:val="006143EB"/>
    <w:rsid w:val="00614645"/>
    <w:rsid w:val="00615D25"/>
    <w:rsid w:val="00617B3D"/>
    <w:rsid w:val="0062068C"/>
    <w:rsid w:val="00620970"/>
    <w:rsid w:val="00622291"/>
    <w:rsid w:val="00624AF3"/>
    <w:rsid w:val="00624B7A"/>
    <w:rsid w:val="00625230"/>
    <w:rsid w:val="00625EF7"/>
    <w:rsid w:val="006264FD"/>
    <w:rsid w:val="00626CDB"/>
    <w:rsid w:val="006309C4"/>
    <w:rsid w:val="006337D9"/>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51D8"/>
    <w:rsid w:val="006F7DB1"/>
    <w:rsid w:val="0070130B"/>
    <w:rsid w:val="007027A2"/>
    <w:rsid w:val="00702B89"/>
    <w:rsid w:val="00702EAB"/>
    <w:rsid w:val="007074DA"/>
    <w:rsid w:val="0071038C"/>
    <w:rsid w:val="00711FD6"/>
    <w:rsid w:val="00712676"/>
    <w:rsid w:val="00713451"/>
    <w:rsid w:val="007143FC"/>
    <w:rsid w:val="0071600A"/>
    <w:rsid w:val="00716C6D"/>
    <w:rsid w:val="007202C3"/>
    <w:rsid w:val="00720E4A"/>
    <w:rsid w:val="00721DC2"/>
    <w:rsid w:val="007222C0"/>
    <w:rsid w:val="007231A1"/>
    <w:rsid w:val="007242F1"/>
    <w:rsid w:val="00726D68"/>
    <w:rsid w:val="00726E13"/>
    <w:rsid w:val="007276F3"/>
    <w:rsid w:val="0073259C"/>
    <w:rsid w:val="0073260F"/>
    <w:rsid w:val="00733A5B"/>
    <w:rsid w:val="007349EB"/>
    <w:rsid w:val="007360A6"/>
    <w:rsid w:val="00740D7A"/>
    <w:rsid w:val="00740FB3"/>
    <w:rsid w:val="007418F1"/>
    <w:rsid w:val="00743AB1"/>
    <w:rsid w:val="0074503D"/>
    <w:rsid w:val="00745D97"/>
    <w:rsid w:val="00746C8B"/>
    <w:rsid w:val="00747BE5"/>
    <w:rsid w:val="0075014C"/>
    <w:rsid w:val="00750E64"/>
    <w:rsid w:val="00751057"/>
    <w:rsid w:val="0075258E"/>
    <w:rsid w:val="00753232"/>
    <w:rsid w:val="00753E5F"/>
    <w:rsid w:val="00755019"/>
    <w:rsid w:val="00755A4D"/>
    <w:rsid w:val="00760E04"/>
    <w:rsid w:val="00762A78"/>
    <w:rsid w:val="007639A9"/>
    <w:rsid w:val="00763B0D"/>
    <w:rsid w:val="00765C8F"/>
    <w:rsid w:val="007664D6"/>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D56"/>
    <w:rsid w:val="007B44E9"/>
    <w:rsid w:val="007B6358"/>
    <w:rsid w:val="007B6D96"/>
    <w:rsid w:val="007C00E7"/>
    <w:rsid w:val="007C089F"/>
    <w:rsid w:val="007D0380"/>
    <w:rsid w:val="007D1CFA"/>
    <w:rsid w:val="007D4F7E"/>
    <w:rsid w:val="007D539B"/>
    <w:rsid w:val="007D5701"/>
    <w:rsid w:val="007D681F"/>
    <w:rsid w:val="007E0C92"/>
    <w:rsid w:val="007E250C"/>
    <w:rsid w:val="007E3084"/>
    <w:rsid w:val="007E4C1A"/>
    <w:rsid w:val="007E752E"/>
    <w:rsid w:val="007F0A69"/>
    <w:rsid w:val="007F4D01"/>
    <w:rsid w:val="007F6F00"/>
    <w:rsid w:val="007F7F25"/>
    <w:rsid w:val="0080058B"/>
    <w:rsid w:val="00800E88"/>
    <w:rsid w:val="00802141"/>
    <w:rsid w:val="00803C0A"/>
    <w:rsid w:val="00805D56"/>
    <w:rsid w:val="008064FA"/>
    <w:rsid w:val="008124F2"/>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689A"/>
    <w:rsid w:val="00867DD5"/>
    <w:rsid w:val="00870044"/>
    <w:rsid w:val="00870A32"/>
    <w:rsid w:val="00871283"/>
    <w:rsid w:val="0087255D"/>
    <w:rsid w:val="008731F9"/>
    <w:rsid w:val="00874C27"/>
    <w:rsid w:val="00877BA7"/>
    <w:rsid w:val="008825E9"/>
    <w:rsid w:val="0088572C"/>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2CF1"/>
    <w:rsid w:val="008B3BCB"/>
    <w:rsid w:val="008B750C"/>
    <w:rsid w:val="008C1C93"/>
    <w:rsid w:val="008C20F7"/>
    <w:rsid w:val="008C5CC8"/>
    <w:rsid w:val="008D48E7"/>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B7"/>
    <w:rsid w:val="009020E2"/>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40DA"/>
    <w:rsid w:val="00944898"/>
    <w:rsid w:val="009459B9"/>
    <w:rsid w:val="0094601D"/>
    <w:rsid w:val="00946B02"/>
    <w:rsid w:val="00951852"/>
    <w:rsid w:val="00954728"/>
    <w:rsid w:val="00955C00"/>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6234"/>
    <w:rsid w:val="00986642"/>
    <w:rsid w:val="00986EDE"/>
    <w:rsid w:val="00986F68"/>
    <w:rsid w:val="00992C10"/>
    <w:rsid w:val="00992F2A"/>
    <w:rsid w:val="009A026C"/>
    <w:rsid w:val="009A1078"/>
    <w:rsid w:val="009A17F7"/>
    <w:rsid w:val="009A1B77"/>
    <w:rsid w:val="009A2A8A"/>
    <w:rsid w:val="009A3F26"/>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A00056"/>
    <w:rsid w:val="00A00D12"/>
    <w:rsid w:val="00A00E24"/>
    <w:rsid w:val="00A05B12"/>
    <w:rsid w:val="00A11257"/>
    <w:rsid w:val="00A11433"/>
    <w:rsid w:val="00A134C8"/>
    <w:rsid w:val="00A14D95"/>
    <w:rsid w:val="00A16896"/>
    <w:rsid w:val="00A16A11"/>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B13"/>
    <w:rsid w:val="00A524E5"/>
    <w:rsid w:val="00A53584"/>
    <w:rsid w:val="00A5401E"/>
    <w:rsid w:val="00A55151"/>
    <w:rsid w:val="00A57E75"/>
    <w:rsid w:val="00A623E0"/>
    <w:rsid w:val="00A6248C"/>
    <w:rsid w:val="00A63115"/>
    <w:rsid w:val="00A637B4"/>
    <w:rsid w:val="00A7374D"/>
    <w:rsid w:val="00A742A5"/>
    <w:rsid w:val="00A750EE"/>
    <w:rsid w:val="00A830D5"/>
    <w:rsid w:val="00A84D7A"/>
    <w:rsid w:val="00A854C6"/>
    <w:rsid w:val="00A87794"/>
    <w:rsid w:val="00A907B3"/>
    <w:rsid w:val="00A9144A"/>
    <w:rsid w:val="00A91B33"/>
    <w:rsid w:val="00A921FF"/>
    <w:rsid w:val="00A94FFA"/>
    <w:rsid w:val="00AA0783"/>
    <w:rsid w:val="00AA1CCA"/>
    <w:rsid w:val="00AA20F5"/>
    <w:rsid w:val="00AA5871"/>
    <w:rsid w:val="00AA6BF1"/>
    <w:rsid w:val="00AA71AF"/>
    <w:rsid w:val="00AB50AF"/>
    <w:rsid w:val="00AC07AF"/>
    <w:rsid w:val="00AC39AF"/>
    <w:rsid w:val="00AC7B88"/>
    <w:rsid w:val="00AD17B0"/>
    <w:rsid w:val="00AD3E90"/>
    <w:rsid w:val="00AD444D"/>
    <w:rsid w:val="00AD51F0"/>
    <w:rsid w:val="00AD5FE2"/>
    <w:rsid w:val="00AD6037"/>
    <w:rsid w:val="00AD68FB"/>
    <w:rsid w:val="00AE0552"/>
    <w:rsid w:val="00AE1B40"/>
    <w:rsid w:val="00AE1B6B"/>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4A08"/>
    <w:rsid w:val="00B54C22"/>
    <w:rsid w:val="00B5632A"/>
    <w:rsid w:val="00B56416"/>
    <w:rsid w:val="00B56C29"/>
    <w:rsid w:val="00B6017F"/>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A1934"/>
    <w:rsid w:val="00BA19DF"/>
    <w:rsid w:val="00BA2895"/>
    <w:rsid w:val="00BA3206"/>
    <w:rsid w:val="00BA32A7"/>
    <w:rsid w:val="00BA5BBC"/>
    <w:rsid w:val="00BA6CD1"/>
    <w:rsid w:val="00BA7B3F"/>
    <w:rsid w:val="00BB2786"/>
    <w:rsid w:val="00BB40CF"/>
    <w:rsid w:val="00BB4AD9"/>
    <w:rsid w:val="00BB5290"/>
    <w:rsid w:val="00BB582E"/>
    <w:rsid w:val="00BC0ADF"/>
    <w:rsid w:val="00BC30B5"/>
    <w:rsid w:val="00BC3514"/>
    <w:rsid w:val="00BC499D"/>
    <w:rsid w:val="00BC5A72"/>
    <w:rsid w:val="00BD2453"/>
    <w:rsid w:val="00BD4B16"/>
    <w:rsid w:val="00BD5109"/>
    <w:rsid w:val="00BD7EF9"/>
    <w:rsid w:val="00BE2FA7"/>
    <w:rsid w:val="00BE3D25"/>
    <w:rsid w:val="00BE58ED"/>
    <w:rsid w:val="00BE6808"/>
    <w:rsid w:val="00BE747F"/>
    <w:rsid w:val="00BE7851"/>
    <w:rsid w:val="00BF1D65"/>
    <w:rsid w:val="00BF2DF4"/>
    <w:rsid w:val="00BF3CF5"/>
    <w:rsid w:val="00BF4B4B"/>
    <w:rsid w:val="00BF7EB7"/>
    <w:rsid w:val="00C040E5"/>
    <w:rsid w:val="00C06DB1"/>
    <w:rsid w:val="00C10A6F"/>
    <w:rsid w:val="00C11640"/>
    <w:rsid w:val="00C141F6"/>
    <w:rsid w:val="00C14220"/>
    <w:rsid w:val="00C174E7"/>
    <w:rsid w:val="00C22D43"/>
    <w:rsid w:val="00C272B0"/>
    <w:rsid w:val="00C314F1"/>
    <w:rsid w:val="00C33860"/>
    <w:rsid w:val="00C340A9"/>
    <w:rsid w:val="00C34BDE"/>
    <w:rsid w:val="00C34FE4"/>
    <w:rsid w:val="00C37369"/>
    <w:rsid w:val="00C375BF"/>
    <w:rsid w:val="00C44F21"/>
    <w:rsid w:val="00C47DC0"/>
    <w:rsid w:val="00C506BB"/>
    <w:rsid w:val="00C51837"/>
    <w:rsid w:val="00C5259A"/>
    <w:rsid w:val="00C52F2E"/>
    <w:rsid w:val="00C5510B"/>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390"/>
    <w:rsid w:val="00C86B03"/>
    <w:rsid w:val="00C86DD4"/>
    <w:rsid w:val="00C87857"/>
    <w:rsid w:val="00C903D9"/>
    <w:rsid w:val="00C90CB7"/>
    <w:rsid w:val="00C923AE"/>
    <w:rsid w:val="00C94495"/>
    <w:rsid w:val="00C94E22"/>
    <w:rsid w:val="00CA057C"/>
    <w:rsid w:val="00CA2F28"/>
    <w:rsid w:val="00CA482D"/>
    <w:rsid w:val="00CA5553"/>
    <w:rsid w:val="00CA6C74"/>
    <w:rsid w:val="00CA7F04"/>
    <w:rsid w:val="00CB3897"/>
    <w:rsid w:val="00CB5E0C"/>
    <w:rsid w:val="00CC457B"/>
    <w:rsid w:val="00CC5984"/>
    <w:rsid w:val="00CC60A0"/>
    <w:rsid w:val="00CC60F7"/>
    <w:rsid w:val="00CC65A9"/>
    <w:rsid w:val="00CC661B"/>
    <w:rsid w:val="00CD3BF9"/>
    <w:rsid w:val="00CE2B34"/>
    <w:rsid w:val="00CE445E"/>
    <w:rsid w:val="00CE57FF"/>
    <w:rsid w:val="00CE6D1B"/>
    <w:rsid w:val="00CF0144"/>
    <w:rsid w:val="00CF6CDF"/>
    <w:rsid w:val="00D013F5"/>
    <w:rsid w:val="00D01811"/>
    <w:rsid w:val="00D03E52"/>
    <w:rsid w:val="00D04BED"/>
    <w:rsid w:val="00D112E4"/>
    <w:rsid w:val="00D11D90"/>
    <w:rsid w:val="00D12895"/>
    <w:rsid w:val="00D13CC8"/>
    <w:rsid w:val="00D14DD6"/>
    <w:rsid w:val="00D16C50"/>
    <w:rsid w:val="00D175BE"/>
    <w:rsid w:val="00D20DB4"/>
    <w:rsid w:val="00D20F16"/>
    <w:rsid w:val="00D21636"/>
    <w:rsid w:val="00D222C6"/>
    <w:rsid w:val="00D22FDE"/>
    <w:rsid w:val="00D23FC1"/>
    <w:rsid w:val="00D2739F"/>
    <w:rsid w:val="00D316DE"/>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55AB2"/>
    <w:rsid w:val="00D637AE"/>
    <w:rsid w:val="00D63A63"/>
    <w:rsid w:val="00D6631B"/>
    <w:rsid w:val="00D732E7"/>
    <w:rsid w:val="00D73AF6"/>
    <w:rsid w:val="00D743F6"/>
    <w:rsid w:val="00D74C90"/>
    <w:rsid w:val="00D757B5"/>
    <w:rsid w:val="00D7582A"/>
    <w:rsid w:val="00D75D1F"/>
    <w:rsid w:val="00D7748E"/>
    <w:rsid w:val="00D805B9"/>
    <w:rsid w:val="00D80B34"/>
    <w:rsid w:val="00D81ACD"/>
    <w:rsid w:val="00D84CD9"/>
    <w:rsid w:val="00D84F74"/>
    <w:rsid w:val="00D86098"/>
    <w:rsid w:val="00D87A0F"/>
    <w:rsid w:val="00D91327"/>
    <w:rsid w:val="00D9171C"/>
    <w:rsid w:val="00D94016"/>
    <w:rsid w:val="00D94184"/>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557F"/>
    <w:rsid w:val="00DB7D85"/>
    <w:rsid w:val="00DC0E7C"/>
    <w:rsid w:val="00DC2561"/>
    <w:rsid w:val="00DC5C73"/>
    <w:rsid w:val="00DC76F9"/>
    <w:rsid w:val="00DD153A"/>
    <w:rsid w:val="00DD32E2"/>
    <w:rsid w:val="00DD3ED1"/>
    <w:rsid w:val="00DD760E"/>
    <w:rsid w:val="00DD7BE2"/>
    <w:rsid w:val="00DE0159"/>
    <w:rsid w:val="00DE1CFA"/>
    <w:rsid w:val="00DF2F19"/>
    <w:rsid w:val="00DF5BE8"/>
    <w:rsid w:val="00DF5DE2"/>
    <w:rsid w:val="00DF60A9"/>
    <w:rsid w:val="00DF6C92"/>
    <w:rsid w:val="00E03723"/>
    <w:rsid w:val="00E038D9"/>
    <w:rsid w:val="00E03D34"/>
    <w:rsid w:val="00E03FDA"/>
    <w:rsid w:val="00E05BDE"/>
    <w:rsid w:val="00E05EFF"/>
    <w:rsid w:val="00E06FA4"/>
    <w:rsid w:val="00E0735B"/>
    <w:rsid w:val="00E073FC"/>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612E"/>
    <w:rsid w:val="00E36D35"/>
    <w:rsid w:val="00E401EF"/>
    <w:rsid w:val="00E4497B"/>
    <w:rsid w:val="00E467B6"/>
    <w:rsid w:val="00E5020E"/>
    <w:rsid w:val="00E5022A"/>
    <w:rsid w:val="00E511AF"/>
    <w:rsid w:val="00E52A06"/>
    <w:rsid w:val="00E53D76"/>
    <w:rsid w:val="00E54768"/>
    <w:rsid w:val="00E570F0"/>
    <w:rsid w:val="00E578E3"/>
    <w:rsid w:val="00E57B62"/>
    <w:rsid w:val="00E57EDE"/>
    <w:rsid w:val="00E610E2"/>
    <w:rsid w:val="00E6450A"/>
    <w:rsid w:val="00E6521D"/>
    <w:rsid w:val="00E652D1"/>
    <w:rsid w:val="00E6590E"/>
    <w:rsid w:val="00E66B85"/>
    <w:rsid w:val="00E66BC7"/>
    <w:rsid w:val="00E67841"/>
    <w:rsid w:val="00E71554"/>
    <w:rsid w:val="00E72792"/>
    <w:rsid w:val="00E74D30"/>
    <w:rsid w:val="00E75A63"/>
    <w:rsid w:val="00E76AA1"/>
    <w:rsid w:val="00E76E1D"/>
    <w:rsid w:val="00E77C8B"/>
    <w:rsid w:val="00E8152F"/>
    <w:rsid w:val="00E818B7"/>
    <w:rsid w:val="00E81BDD"/>
    <w:rsid w:val="00E82F99"/>
    <w:rsid w:val="00E87E8B"/>
    <w:rsid w:val="00E9198F"/>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0821"/>
    <w:rsid w:val="00EB267E"/>
    <w:rsid w:val="00EB352A"/>
    <w:rsid w:val="00EB46A8"/>
    <w:rsid w:val="00EB594A"/>
    <w:rsid w:val="00EB5DE9"/>
    <w:rsid w:val="00EB63D4"/>
    <w:rsid w:val="00EC074B"/>
    <w:rsid w:val="00EC0B8F"/>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29B0"/>
    <w:rsid w:val="00F03375"/>
    <w:rsid w:val="00F03561"/>
    <w:rsid w:val="00F0483E"/>
    <w:rsid w:val="00F06214"/>
    <w:rsid w:val="00F06668"/>
    <w:rsid w:val="00F06859"/>
    <w:rsid w:val="00F072B4"/>
    <w:rsid w:val="00F07F74"/>
    <w:rsid w:val="00F106F5"/>
    <w:rsid w:val="00F1218A"/>
    <w:rsid w:val="00F12B91"/>
    <w:rsid w:val="00F157CB"/>
    <w:rsid w:val="00F16F90"/>
    <w:rsid w:val="00F175B4"/>
    <w:rsid w:val="00F20740"/>
    <w:rsid w:val="00F21005"/>
    <w:rsid w:val="00F23CCC"/>
    <w:rsid w:val="00F25371"/>
    <w:rsid w:val="00F259A2"/>
    <w:rsid w:val="00F26CD5"/>
    <w:rsid w:val="00F30DE5"/>
    <w:rsid w:val="00F31A10"/>
    <w:rsid w:val="00F35E4A"/>
    <w:rsid w:val="00F37122"/>
    <w:rsid w:val="00F4007D"/>
    <w:rsid w:val="00F40097"/>
    <w:rsid w:val="00F40647"/>
    <w:rsid w:val="00F410F8"/>
    <w:rsid w:val="00F41692"/>
    <w:rsid w:val="00F42949"/>
    <w:rsid w:val="00F42C4F"/>
    <w:rsid w:val="00F47797"/>
    <w:rsid w:val="00F50DE3"/>
    <w:rsid w:val="00F50F97"/>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2B5"/>
    <w:rsid w:val="00FE1A2E"/>
    <w:rsid w:val="00FE1C22"/>
    <w:rsid w:val="00FE2538"/>
    <w:rsid w:val="00FE2654"/>
    <w:rsid w:val="00FE6D3A"/>
    <w:rsid w:val="00FE781B"/>
    <w:rsid w:val="00FF1B36"/>
    <w:rsid w:val="00FF23A3"/>
    <w:rsid w:val="00FF340A"/>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17</Pages>
  <Words>6484</Words>
  <Characters>36964</Characters>
  <Application>Microsoft Office Word</Application>
  <DocSecurity>0</DocSecurity>
  <Lines>308</Lines>
  <Paragraphs>86</Paragraphs>
  <ScaleCrop>false</ScaleCrop>
  <Company/>
  <LinksUpToDate>false</LinksUpToDate>
  <CharactersWithSpaces>43362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1094</cp:revision>
  <dcterms:created xsi:type="dcterms:W3CDTF">2020-06-15T15:19:00Z</dcterms:created>
  <dcterms:modified xsi:type="dcterms:W3CDTF">2020-09-08T06:58:00Z</dcterms:modified>
</cp:coreProperties>
</file>