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FA3C4" w14:textId="5C2F322C" w:rsidR="00471286" w:rsidRPr="00280531" w:rsidRDefault="00D9727A">
      <w:pPr>
        <w:rPr>
          <w:rFonts w:ascii="Times New Roman" w:hAnsi="Times New Roman" w:cs="Times New Roman"/>
        </w:rPr>
      </w:pPr>
      <w:r w:rsidRPr="00280531">
        <w:rPr>
          <w:rFonts w:ascii="Times New Roman" w:hAnsi="Times New Roman" w:cs="Times New Roman"/>
        </w:rPr>
        <w:t>上周主要工作进展</w:t>
      </w:r>
    </w:p>
    <w:p w14:paraId="19A49768" w14:textId="20C749A4" w:rsidR="00D9727A" w:rsidRPr="00280531" w:rsidRDefault="00D9727A" w:rsidP="00D9727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80531">
        <w:rPr>
          <w:rFonts w:ascii="Times New Roman" w:hAnsi="Times New Roman" w:cs="Times New Roman"/>
        </w:rPr>
        <w:t>汇编代码完成</w:t>
      </w:r>
      <w:r w:rsidRPr="00280531">
        <w:rPr>
          <w:rFonts w:ascii="Times New Roman" w:hAnsi="Times New Roman" w:cs="Times New Roman"/>
        </w:rPr>
        <w:t>resnet conv 1*1</w:t>
      </w:r>
      <w:r w:rsidRPr="00280531">
        <w:rPr>
          <w:rFonts w:ascii="Times New Roman" w:hAnsi="Times New Roman" w:cs="Times New Roman"/>
        </w:rPr>
        <w:t>的部分，尚未上板调试；</w:t>
      </w:r>
    </w:p>
    <w:p w14:paraId="27CA1AF9" w14:textId="77777777" w:rsidR="00777EAB" w:rsidRPr="00280531" w:rsidRDefault="00D9727A" w:rsidP="00D9727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80531">
        <w:rPr>
          <w:rFonts w:ascii="Times New Roman" w:hAnsi="Times New Roman" w:cs="Times New Roman"/>
        </w:rPr>
        <w:t>阅读</w:t>
      </w:r>
      <w:r w:rsidR="00777EAB" w:rsidRPr="00280531">
        <w:rPr>
          <w:rFonts w:ascii="Times New Roman" w:hAnsi="Times New Roman" w:cs="Times New Roman"/>
        </w:rPr>
        <w:t>4</w:t>
      </w:r>
      <w:r w:rsidR="00777EAB" w:rsidRPr="00280531">
        <w:rPr>
          <w:rFonts w:ascii="Times New Roman" w:hAnsi="Times New Roman" w:cs="Times New Roman"/>
        </w:rPr>
        <w:t>篇</w:t>
      </w:r>
      <w:r w:rsidRPr="00280531">
        <w:rPr>
          <w:rFonts w:ascii="Times New Roman" w:hAnsi="Times New Roman" w:cs="Times New Roman"/>
        </w:rPr>
        <w:t>图卷积相关文献</w:t>
      </w:r>
      <w:r w:rsidR="00777EAB" w:rsidRPr="00280531">
        <w:rPr>
          <w:rFonts w:ascii="Times New Roman" w:hAnsi="Times New Roman" w:cs="Times New Roman"/>
        </w:rPr>
        <w:t>，文献小总结见后；</w:t>
      </w:r>
    </w:p>
    <w:p w14:paraId="773EE642" w14:textId="264BE03D" w:rsidR="00777EAB" w:rsidRPr="00280531" w:rsidRDefault="00777EAB" w:rsidP="00D9727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80531">
        <w:rPr>
          <w:rFonts w:ascii="Times New Roman" w:hAnsi="Times New Roman" w:cs="Times New Roman"/>
        </w:rPr>
        <w:t>运行了图卷积模型的软代码实验，其突出特点是权值分布比较集中利于量化、网络稀疏度较高且稀疏度分布不均匀</w:t>
      </w:r>
      <w:r w:rsidR="004C529E" w:rsidRPr="00280531">
        <w:rPr>
          <w:rFonts w:ascii="Times New Roman" w:hAnsi="Times New Roman" w:cs="Times New Roman"/>
        </w:rPr>
        <w:t>；</w:t>
      </w:r>
    </w:p>
    <w:p w14:paraId="66DE10DF" w14:textId="35AF9C49" w:rsidR="00D9727A" w:rsidRPr="00280531" w:rsidRDefault="00254EDA" w:rsidP="00777EA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80531">
        <w:rPr>
          <w:rFonts w:ascii="Times New Roman" w:hAnsi="Times New Roman" w:cs="Times New Roman"/>
          <w:noProof/>
        </w:rPr>
        <w:drawing>
          <wp:inline distT="0" distB="0" distL="0" distR="0" wp14:anchorId="0C4EA74B" wp14:editId="40749F65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C52FEBA-DDD9-495A-8CB8-76202F75BE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0B6E0B" w14:textId="2FCC0435" w:rsidR="005A157E" w:rsidRPr="00280531" w:rsidRDefault="005A157E" w:rsidP="00777EA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80531">
        <w:rPr>
          <w:rFonts w:ascii="Times New Roman" w:hAnsi="Times New Roman" w:cs="Times New Roman"/>
          <w:noProof/>
        </w:rPr>
        <w:drawing>
          <wp:inline distT="0" distB="0" distL="0" distR="0" wp14:anchorId="0E0A59D0" wp14:editId="3E2432EA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CA7A378E-51D7-450B-8A7A-EB9A1FBBF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CA31C2" w14:textId="27E3A46A" w:rsidR="001B7BAB" w:rsidRPr="00280531" w:rsidRDefault="001B7BAB" w:rsidP="00777E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3272E2D" w14:textId="64E8D6A3" w:rsidR="001B7BAB" w:rsidRPr="00280531" w:rsidRDefault="001B7BAB" w:rsidP="00777EA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80531">
        <w:rPr>
          <w:rFonts w:ascii="Times New Roman" w:hAnsi="Times New Roman" w:cs="Times New Roman"/>
        </w:rPr>
        <w:t>下周工作计划：</w:t>
      </w:r>
    </w:p>
    <w:p w14:paraId="537F274C" w14:textId="4FC3022A" w:rsidR="001B7BAB" w:rsidRPr="00280531" w:rsidRDefault="001B7BAB" w:rsidP="001B7BA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80531">
        <w:rPr>
          <w:rFonts w:ascii="Times New Roman" w:hAnsi="Times New Roman" w:cs="Times New Roman"/>
        </w:rPr>
        <w:t>完成</w:t>
      </w:r>
      <w:r w:rsidRPr="00280531">
        <w:rPr>
          <w:rFonts w:ascii="Times New Roman" w:hAnsi="Times New Roman" w:cs="Times New Roman"/>
        </w:rPr>
        <w:t>resnet</w:t>
      </w:r>
      <w:r w:rsidRPr="00280531">
        <w:rPr>
          <w:rFonts w:ascii="Times New Roman" w:hAnsi="Times New Roman" w:cs="Times New Roman"/>
        </w:rPr>
        <w:t>汇编的上板调试工作；</w:t>
      </w:r>
    </w:p>
    <w:p w14:paraId="0736EC4A" w14:textId="0A380E23" w:rsidR="001B7BAB" w:rsidRPr="00280531" w:rsidRDefault="009576E5" w:rsidP="001B7BA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80531">
        <w:rPr>
          <w:rFonts w:ascii="Times New Roman" w:hAnsi="Times New Roman" w:cs="Times New Roman"/>
        </w:rPr>
        <w:t>针对目标</w:t>
      </w:r>
      <w:r w:rsidRPr="00280531">
        <w:rPr>
          <w:rFonts w:ascii="Times New Roman" w:hAnsi="Times New Roman" w:cs="Times New Roman"/>
        </w:rPr>
        <w:t>GCN</w:t>
      </w:r>
      <w:r w:rsidRPr="00280531">
        <w:rPr>
          <w:rFonts w:ascii="Times New Roman" w:hAnsi="Times New Roman" w:cs="Times New Roman"/>
        </w:rPr>
        <w:t>模型稀疏度较高的工作，阅读剪枝及稀疏矩阵加速的相关论文；</w:t>
      </w:r>
    </w:p>
    <w:p w14:paraId="67CDE085" w14:textId="6F0D35B0" w:rsidR="009576E5" w:rsidRPr="00280531" w:rsidRDefault="009576E5" w:rsidP="001B7BA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80531">
        <w:rPr>
          <w:rFonts w:ascii="Times New Roman" w:hAnsi="Times New Roman" w:cs="Times New Roman"/>
        </w:rPr>
        <w:t>绘制目标</w:t>
      </w:r>
      <w:r w:rsidRPr="00280531">
        <w:rPr>
          <w:rFonts w:ascii="Times New Roman" w:hAnsi="Times New Roman" w:cs="Times New Roman"/>
        </w:rPr>
        <w:t>GCN</w:t>
      </w:r>
      <w:r w:rsidRPr="00280531">
        <w:rPr>
          <w:rFonts w:ascii="Times New Roman" w:hAnsi="Times New Roman" w:cs="Times New Roman"/>
        </w:rPr>
        <w:t>模型的数据流图以评估其在</w:t>
      </w:r>
      <w:r w:rsidRPr="00280531">
        <w:rPr>
          <w:rFonts w:ascii="Times New Roman" w:hAnsi="Times New Roman" w:cs="Times New Roman"/>
        </w:rPr>
        <w:t>MT</w:t>
      </w:r>
      <w:r w:rsidRPr="00280531">
        <w:rPr>
          <w:rFonts w:ascii="Times New Roman" w:hAnsi="Times New Roman" w:cs="Times New Roman"/>
        </w:rPr>
        <w:t>上的可行性；</w:t>
      </w:r>
    </w:p>
    <w:p w14:paraId="68D1A662" w14:textId="01491C52" w:rsidR="00213290" w:rsidRPr="00280531" w:rsidRDefault="00213290" w:rsidP="00213290">
      <w:pPr>
        <w:rPr>
          <w:rFonts w:ascii="Times New Roman" w:hAnsi="Times New Roman" w:cs="Times New Roman"/>
        </w:rPr>
      </w:pPr>
    </w:p>
    <w:p w14:paraId="6CD02418" w14:textId="0805904E" w:rsidR="00213290" w:rsidRPr="00280531" w:rsidRDefault="00213290" w:rsidP="00213290">
      <w:pPr>
        <w:rPr>
          <w:rFonts w:ascii="Times New Roman" w:hAnsi="Times New Roman" w:cs="Times New Roman"/>
        </w:rPr>
      </w:pPr>
    </w:p>
    <w:p w14:paraId="587DA86C" w14:textId="443C9FD8" w:rsidR="00213290" w:rsidRPr="00280531" w:rsidRDefault="00213290" w:rsidP="00213290">
      <w:pPr>
        <w:rPr>
          <w:rFonts w:ascii="Times New Roman" w:hAnsi="Times New Roman" w:cs="Times New Roman"/>
        </w:rPr>
      </w:pPr>
      <w:r w:rsidRPr="00280531">
        <w:rPr>
          <w:rFonts w:ascii="Times New Roman" w:hAnsi="Times New Roman" w:cs="Times New Roman"/>
        </w:rPr>
        <w:t>文献总结</w:t>
      </w:r>
    </w:p>
    <w:p w14:paraId="5091784B" w14:textId="392D11B6" w:rsidR="00742B69" w:rsidRDefault="00D20988" w:rsidP="00213290">
      <w:pPr>
        <w:rPr>
          <w:rFonts w:ascii="Times New Roman" w:hAnsi="Times New Roman" w:cs="Times New Roman" w:hint="eastAsia"/>
        </w:rPr>
      </w:pPr>
      <w:r w:rsidRPr="00280531">
        <w:rPr>
          <w:rFonts w:ascii="Times New Roman" w:hAnsi="Times New Roman" w:cs="Times New Roman"/>
        </w:rPr>
        <w:t>Accelerating Large Scale GCN Inference on FPGA</w:t>
      </w:r>
      <w:r w:rsidRPr="00280531">
        <w:rPr>
          <w:rFonts w:ascii="Times New Roman" w:hAnsi="Times New Roman" w:cs="Times New Roman"/>
        </w:rPr>
        <w:t>, 2020 FCCM</w:t>
      </w:r>
    </w:p>
    <w:p w14:paraId="77524F04" w14:textId="6C3DFCA0" w:rsidR="00A56C8F" w:rsidRPr="00A56C8F" w:rsidRDefault="00A56C8F" w:rsidP="00A56C8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A56C8F">
        <w:rPr>
          <w:rFonts w:ascii="Times New Roman" w:hAnsi="Times New Roman" w:cs="Times New Roman" w:hint="eastAsia"/>
        </w:rPr>
        <w:t>采用了传统的压缩矩阵存储格式进行计算</w:t>
      </w:r>
      <w:r w:rsidR="00742B69">
        <w:rPr>
          <w:rFonts w:ascii="Times New Roman" w:hAnsi="Times New Roman" w:cs="Times New Roman" w:hint="eastAsia"/>
        </w:rPr>
        <w:t>，</w:t>
      </w:r>
      <w:r w:rsidR="003563C6">
        <w:rPr>
          <w:rFonts w:ascii="Times New Roman" w:hAnsi="Times New Roman" w:cs="Times New Roman" w:hint="eastAsia"/>
        </w:rPr>
        <w:t>加速器设计</w:t>
      </w:r>
      <w:r w:rsidR="00742B69">
        <w:rPr>
          <w:rFonts w:ascii="Times New Roman" w:hAnsi="Times New Roman" w:cs="Times New Roman" w:hint="eastAsia"/>
        </w:rPr>
        <w:t>针对含图操作的图卷积网络</w:t>
      </w:r>
      <w:r w:rsidRPr="00A56C8F">
        <w:rPr>
          <w:rFonts w:ascii="Times New Roman" w:hAnsi="Times New Roman" w:cs="Times New Roman" w:hint="eastAsia"/>
        </w:rPr>
        <w:t>；</w:t>
      </w:r>
    </w:p>
    <w:p w14:paraId="51F02DCB" w14:textId="2549DDAD" w:rsidR="00A56C8F" w:rsidRDefault="00A56C8F" w:rsidP="00A56C8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使用了节点重排序方法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>reordering)</w:t>
      </w:r>
      <w:r>
        <w:rPr>
          <w:rFonts w:ascii="Times New Roman" w:hAnsi="Times New Roman" w:cs="Times New Roman" w:hint="eastAsia"/>
        </w:rPr>
        <w:t>，消除图中度数较大的节点，其目的是使得每个</w:t>
      </w:r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都达到负载均衡的状态；</w:t>
      </w:r>
    </w:p>
    <w:p w14:paraId="1DC9F28B" w14:textId="18A6AABD" w:rsidR="00A56C8F" w:rsidRDefault="00A56C8F" w:rsidP="00A56C8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PGA</w:t>
      </w:r>
      <w:r>
        <w:rPr>
          <w:rFonts w:ascii="Times New Roman" w:hAnsi="Times New Roman" w:cs="Times New Roman" w:hint="eastAsia"/>
        </w:rPr>
        <w:t>上实现，达到了</w:t>
      </w:r>
      <w:r w:rsidR="00B832CE">
        <w:rPr>
          <w:rFonts w:ascii="Times New Roman" w:hAnsi="Times New Roman" w:cs="Times New Roman" w:hint="eastAsia"/>
        </w:rPr>
        <w:t>相对</w:t>
      </w:r>
      <w:r w:rsidR="00B832CE">
        <w:rPr>
          <w:rFonts w:ascii="Times New Roman" w:hAnsi="Times New Roman" w:cs="Times New Roman" w:hint="eastAsia"/>
        </w:rPr>
        <w:t>C</w:t>
      </w:r>
      <w:r w:rsidR="00B832CE">
        <w:rPr>
          <w:rFonts w:ascii="Times New Roman" w:hAnsi="Times New Roman" w:cs="Times New Roman"/>
        </w:rPr>
        <w:t>PU 30x</w:t>
      </w:r>
      <w:r w:rsidR="00B832CE">
        <w:rPr>
          <w:rFonts w:ascii="Times New Roman" w:hAnsi="Times New Roman" w:cs="Times New Roman" w:hint="eastAsia"/>
        </w:rPr>
        <w:t>和相对</w:t>
      </w:r>
      <w:r w:rsidR="00B832CE">
        <w:rPr>
          <w:rFonts w:ascii="Times New Roman" w:hAnsi="Times New Roman" w:cs="Times New Roman" w:hint="eastAsia"/>
        </w:rPr>
        <w:t>G</w:t>
      </w:r>
      <w:r w:rsidR="00B832CE">
        <w:rPr>
          <w:rFonts w:ascii="Times New Roman" w:hAnsi="Times New Roman" w:cs="Times New Roman"/>
        </w:rPr>
        <w:t>PU 2x</w:t>
      </w:r>
      <w:r w:rsidR="00B832CE">
        <w:rPr>
          <w:rFonts w:ascii="Times New Roman" w:hAnsi="Times New Roman" w:cs="Times New Roman" w:hint="eastAsia"/>
        </w:rPr>
        <w:t>的加速比。</w:t>
      </w:r>
    </w:p>
    <w:p w14:paraId="4CF0CEE1" w14:textId="756D9190" w:rsidR="00742B69" w:rsidRDefault="00742B69" w:rsidP="00742B69">
      <w:pPr>
        <w:rPr>
          <w:rFonts w:ascii="Times New Roman" w:hAnsi="Times New Roman" w:cs="Times New Roman"/>
        </w:rPr>
      </w:pPr>
    </w:p>
    <w:p w14:paraId="1B557F5C" w14:textId="77777777" w:rsidR="002D6020" w:rsidRPr="002D6020" w:rsidRDefault="002D6020" w:rsidP="002D6020">
      <w:pPr>
        <w:rPr>
          <w:rFonts w:ascii="Times New Roman" w:hAnsi="Times New Roman" w:cs="Times New Roman"/>
        </w:rPr>
      </w:pPr>
    </w:p>
    <w:p w14:paraId="345F0ADF" w14:textId="3D30D6BE" w:rsidR="00FA292D" w:rsidRDefault="002D6020" w:rsidP="002D6020">
      <w:pPr>
        <w:rPr>
          <w:rFonts w:ascii="Times New Roman" w:hAnsi="Times New Roman" w:cs="Times New Roman"/>
        </w:rPr>
      </w:pPr>
      <w:r w:rsidRPr="002D6020">
        <w:rPr>
          <w:rFonts w:ascii="Times New Roman" w:hAnsi="Times New Roman" w:cs="Times New Roman"/>
        </w:rPr>
        <w:t>An FPGA Implementation of GCN with Sparse Adjacency Matrix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2019 IEEE International Conference on ASIC</w:t>
      </w:r>
    </w:p>
    <w:p w14:paraId="0776305C" w14:textId="6ED59FF9" w:rsidR="00742B69" w:rsidRDefault="00055E58" w:rsidP="00055E5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加速对象是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T-GCN</w:t>
      </w:r>
      <w:r>
        <w:rPr>
          <w:rFonts w:ascii="Times New Roman" w:hAnsi="Times New Roman" w:cs="Times New Roman" w:hint="eastAsia"/>
        </w:rPr>
        <w:t>，一种不含图操作（如搜索节点等）的图卷积姿态识别网络。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T-GCN</w:t>
      </w:r>
      <w:r>
        <w:rPr>
          <w:rFonts w:ascii="Times New Roman" w:hAnsi="Times New Roman" w:cs="Times New Roman" w:hint="eastAsia"/>
        </w:rPr>
        <w:t>是学术界第一种使用图卷积的姿态识别方法，相比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方法发姿态识别取得了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OTA</w:t>
      </w:r>
      <w:r>
        <w:rPr>
          <w:rFonts w:ascii="Times New Roman" w:hAnsi="Times New Roman" w:cs="Times New Roman" w:hint="eastAsia"/>
        </w:rPr>
        <w:t>的成果</w:t>
      </w:r>
      <w:r w:rsidR="00E018B3">
        <w:rPr>
          <w:rFonts w:ascii="Times New Roman" w:hAnsi="Times New Roman" w:cs="Times New Roman" w:hint="eastAsia"/>
        </w:rPr>
        <w:t>；</w:t>
      </w:r>
    </w:p>
    <w:p w14:paraId="1467062D" w14:textId="600AFADE" w:rsidR="00E018B3" w:rsidRDefault="00E018B3" w:rsidP="00055E5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文章使用了量化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传统稀疏矩阵乘的方法；</w:t>
      </w:r>
    </w:p>
    <w:p w14:paraId="20470804" w14:textId="04D3A852" w:rsidR="004D502C" w:rsidRDefault="004D502C" w:rsidP="00055E5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PGA</w:t>
      </w:r>
      <w:r>
        <w:rPr>
          <w:rFonts w:ascii="Times New Roman" w:hAnsi="Times New Roman" w:cs="Times New Roman" w:hint="eastAsia"/>
        </w:rPr>
        <w:t>上实现，延迟和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 w:hint="eastAsia"/>
        </w:rPr>
        <w:t>相当的同时取得了相对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PU 6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的吞吐率提高；</w:t>
      </w:r>
    </w:p>
    <w:p w14:paraId="46ED15C0" w14:textId="167D43FB" w:rsidR="002D13A3" w:rsidRDefault="002D13A3" w:rsidP="003D6E09">
      <w:pPr>
        <w:pStyle w:val="a3"/>
        <w:ind w:left="72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C9FF79" wp14:editId="3030655B">
            <wp:extent cx="3065069" cy="108568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232" cy="11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B43F" w14:textId="67A0DEDD" w:rsidR="002D13A3" w:rsidRDefault="009C000C" w:rsidP="003D6E09">
      <w:pPr>
        <w:pStyle w:val="a3"/>
        <w:ind w:left="72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AEF9EA" wp14:editId="1196348C">
            <wp:extent cx="2706757" cy="12768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960" cy="12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AD7D" w14:textId="60053769" w:rsidR="009C000C" w:rsidRDefault="00BB424E" w:rsidP="003D6E09">
      <w:pPr>
        <w:pStyle w:val="a3"/>
        <w:ind w:left="720"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32BA73D" wp14:editId="5E716C10">
            <wp:extent cx="2677363" cy="177292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812" cy="17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1290" w14:textId="2D4C9EF2" w:rsidR="004D502C" w:rsidRDefault="004D502C" w:rsidP="00055E5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本文相对于其他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PGA</w:t>
      </w:r>
      <w:r>
        <w:rPr>
          <w:rFonts w:ascii="Times New Roman" w:hAnsi="Times New Roman" w:cs="Times New Roman" w:hint="eastAsia"/>
        </w:rPr>
        <w:t>设计，更关注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 w:hint="eastAsia"/>
        </w:rPr>
        <w:t>的利用率。</w:t>
      </w:r>
    </w:p>
    <w:p w14:paraId="6F7A68B4" w14:textId="4F7995DA" w:rsidR="002064A0" w:rsidRDefault="002064A0" w:rsidP="002064A0">
      <w:pPr>
        <w:rPr>
          <w:rFonts w:ascii="Times New Roman" w:hAnsi="Times New Roman" w:cs="Times New Roman"/>
        </w:rPr>
      </w:pPr>
    </w:p>
    <w:p w14:paraId="0676B4A6" w14:textId="2954D8D1" w:rsidR="002064A0" w:rsidRDefault="002064A0" w:rsidP="002064A0">
      <w:pPr>
        <w:autoSpaceDE w:val="0"/>
        <w:autoSpaceDN w:val="0"/>
        <w:adjustRightInd w:val="0"/>
        <w:jc w:val="left"/>
        <w:rPr>
          <w:rFonts w:ascii="Times New Roman" w:eastAsia="NimbusRomNo9L-Regu" w:hAnsi="Times New Roman" w:cs="Times New Roman"/>
          <w:kern w:val="0"/>
          <w:szCs w:val="21"/>
        </w:rPr>
      </w:pPr>
      <w:r w:rsidRPr="002064A0">
        <w:rPr>
          <w:rFonts w:ascii="Times New Roman" w:eastAsia="NimbusRomNo9L-Regu" w:hAnsi="Times New Roman" w:cs="Times New Roman"/>
          <w:kern w:val="0"/>
          <w:szCs w:val="21"/>
        </w:rPr>
        <w:t>AWB-GCN: A Graph Convolutional Network</w:t>
      </w:r>
      <w:r>
        <w:rPr>
          <w:rFonts w:ascii="Times New Roman" w:eastAsia="NimbusRomNo9L-Regu" w:hAnsi="Times New Roman" w:cs="Times New Roman" w:hint="eastAsia"/>
          <w:kern w:val="0"/>
          <w:szCs w:val="21"/>
        </w:rPr>
        <w:t xml:space="preserve"> </w:t>
      </w:r>
      <w:r w:rsidRPr="002064A0">
        <w:rPr>
          <w:rFonts w:ascii="Times New Roman" w:eastAsia="NimbusRomNo9L-Regu" w:hAnsi="Times New Roman" w:cs="Times New Roman"/>
          <w:kern w:val="0"/>
          <w:szCs w:val="21"/>
        </w:rPr>
        <w:t>Accelerator with Runtime Workload Rebalancing</w:t>
      </w:r>
      <w:r w:rsidR="00C97011">
        <w:rPr>
          <w:rFonts w:ascii="Times New Roman" w:eastAsia="NimbusRomNo9L-Regu" w:hAnsi="Times New Roman" w:cs="Times New Roman"/>
          <w:kern w:val="0"/>
          <w:szCs w:val="21"/>
        </w:rPr>
        <w:t xml:space="preserve">, </w:t>
      </w:r>
      <w:r w:rsidR="00C97011">
        <w:rPr>
          <w:rFonts w:ascii="Times New Roman" w:eastAsia="NimbusRomNo9L-Regu" w:hAnsi="Times New Roman" w:cs="Times New Roman" w:hint="eastAsia"/>
          <w:kern w:val="0"/>
          <w:szCs w:val="21"/>
        </w:rPr>
        <w:t>to</w:t>
      </w:r>
      <w:r w:rsidR="00C97011">
        <w:rPr>
          <w:rFonts w:ascii="Times New Roman" w:eastAsia="NimbusRomNo9L-Regu" w:hAnsi="Times New Roman" w:cs="Times New Roman"/>
          <w:kern w:val="0"/>
          <w:szCs w:val="21"/>
        </w:rPr>
        <w:t xml:space="preserve"> be appeared on 2020 HPCA</w:t>
      </w:r>
    </w:p>
    <w:p w14:paraId="370E9993" w14:textId="4FB60589" w:rsidR="00834451" w:rsidRDefault="00834451" w:rsidP="0083445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文章面向通用图卷积模型（含图操作的和不含图操作的），主要的着眼点在于大图计算中，图数据结构存在稀疏度极高(</w:t>
      </w:r>
      <w:r>
        <w:rPr>
          <w:rFonts w:ascii="宋体" w:eastAsia="宋体" w:hAnsi="宋体" w:cs="Times New Roman"/>
          <w:kern w:val="0"/>
          <w:szCs w:val="21"/>
        </w:rPr>
        <w:t>&gt;99%)</w:t>
      </w:r>
      <w:r>
        <w:rPr>
          <w:rFonts w:ascii="宋体" w:eastAsia="宋体" w:hAnsi="宋体" w:cs="Times New Roman" w:hint="eastAsia"/>
          <w:kern w:val="0"/>
          <w:szCs w:val="21"/>
        </w:rPr>
        <w:t>和非零元素分布不均匀的特点</w:t>
      </w:r>
      <w:r w:rsidR="005C484C">
        <w:rPr>
          <w:rFonts w:ascii="宋体" w:eastAsia="宋体" w:hAnsi="宋体" w:cs="Times New Roman" w:hint="eastAsia"/>
          <w:kern w:val="0"/>
          <w:szCs w:val="21"/>
        </w:rPr>
        <w:t>。文章阐述并分析了图数据结构的特点</w:t>
      </w:r>
      <w:r w:rsidR="001036BF">
        <w:rPr>
          <w:rFonts w:ascii="宋体" w:eastAsia="宋体" w:hAnsi="宋体" w:cs="Times New Roman" w:hint="eastAsia"/>
          <w:kern w:val="0"/>
          <w:szCs w:val="21"/>
        </w:rPr>
        <w:t>：8</w:t>
      </w:r>
      <w:r w:rsidR="001036BF">
        <w:rPr>
          <w:rFonts w:ascii="宋体" w:eastAsia="宋体" w:hAnsi="宋体" w:cs="Times New Roman"/>
          <w:kern w:val="0"/>
          <w:szCs w:val="21"/>
        </w:rPr>
        <w:t>0</w:t>
      </w:r>
      <w:r w:rsidR="001036BF">
        <w:rPr>
          <w:rFonts w:ascii="宋体" w:eastAsia="宋体" w:hAnsi="宋体" w:cs="Times New Roman" w:hint="eastAsia"/>
          <w:kern w:val="0"/>
          <w:szCs w:val="21"/>
        </w:rPr>
        <w:t>%的非零元素分布在2</w:t>
      </w:r>
      <w:r w:rsidR="001036BF">
        <w:rPr>
          <w:rFonts w:ascii="宋体" w:eastAsia="宋体" w:hAnsi="宋体" w:cs="Times New Roman"/>
          <w:kern w:val="0"/>
          <w:szCs w:val="21"/>
        </w:rPr>
        <w:t>0</w:t>
      </w:r>
      <w:r w:rsidR="001036BF">
        <w:rPr>
          <w:rFonts w:ascii="宋体" w:eastAsia="宋体" w:hAnsi="宋体" w:cs="Times New Roman" w:hint="eastAsia"/>
          <w:kern w:val="0"/>
          <w:szCs w:val="21"/>
        </w:rPr>
        <w:t>%甚至更少的行和列上</w:t>
      </w:r>
      <w:r>
        <w:rPr>
          <w:rFonts w:ascii="宋体" w:eastAsia="宋体" w:hAnsi="宋体" w:cs="Times New Roman" w:hint="eastAsia"/>
          <w:kern w:val="0"/>
          <w:szCs w:val="21"/>
        </w:rPr>
        <w:t>；</w:t>
      </w:r>
    </w:p>
    <w:p w14:paraId="0BD353D1" w14:textId="1CE8FC2E" w:rsidR="005C484C" w:rsidRDefault="00436316" w:rsidP="00436316">
      <w:pPr>
        <w:pStyle w:val="a3"/>
        <w:autoSpaceDE w:val="0"/>
        <w:autoSpaceDN w:val="0"/>
        <w:adjustRightInd w:val="0"/>
        <w:ind w:left="720" w:firstLineChars="0" w:firstLine="0"/>
        <w:jc w:val="center"/>
        <w:rPr>
          <w:rFonts w:ascii="宋体" w:eastAsia="宋体" w:hAnsi="宋体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6CBD264" wp14:editId="2E86DD53">
            <wp:extent cx="4045305" cy="1605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269" cy="16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3DBD" w14:textId="2A33B203" w:rsidR="00D0562E" w:rsidRDefault="00D0562E" w:rsidP="00436316">
      <w:pPr>
        <w:pStyle w:val="a3"/>
        <w:autoSpaceDE w:val="0"/>
        <w:autoSpaceDN w:val="0"/>
        <w:adjustRightInd w:val="0"/>
        <w:ind w:left="720" w:firstLineChars="0" w:firstLine="0"/>
        <w:jc w:val="center"/>
        <w:rPr>
          <w:rFonts w:ascii="宋体" w:eastAsia="宋体" w:hAnsi="宋体" w:cs="Times New Roman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C40E21A" wp14:editId="46CDD6CF">
            <wp:extent cx="5274310" cy="1143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1B98" w14:textId="5CEAA2D3" w:rsidR="00436316" w:rsidRDefault="00436316" w:rsidP="00436316">
      <w:pPr>
        <w:pStyle w:val="a3"/>
        <w:autoSpaceDE w:val="0"/>
        <w:autoSpaceDN w:val="0"/>
        <w:adjustRightInd w:val="0"/>
        <w:ind w:left="720" w:firstLineChars="0" w:firstLine="0"/>
        <w:jc w:val="center"/>
        <w:rPr>
          <w:rFonts w:ascii="宋体" w:eastAsia="宋体" w:hAnsi="宋体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5B27E708" wp14:editId="31A68936">
            <wp:extent cx="2979364" cy="2682088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441" cy="26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5A0F" w14:textId="42AE3F3D" w:rsidR="00436316" w:rsidRDefault="00436316" w:rsidP="00436316">
      <w:pPr>
        <w:pStyle w:val="a3"/>
        <w:autoSpaceDE w:val="0"/>
        <w:autoSpaceDN w:val="0"/>
        <w:adjustRightInd w:val="0"/>
        <w:ind w:left="720" w:firstLineChars="0" w:firstLine="0"/>
        <w:jc w:val="center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（蓝色的点线为</w:t>
      </w:r>
      <w:r w:rsidR="00D0562E">
        <w:rPr>
          <w:rFonts w:ascii="宋体" w:eastAsia="宋体" w:hAnsi="宋体" w:cs="Times New Roman" w:hint="eastAsia"/>
          <w:kern w:val="0"/>
          <w:szCs w:val="21"/>
        </w:rPr>
        <w:t>矩阵中的</w:t>
      </w:r>
      <w:r>
        <w:rPr>
          <w:rFonts w:ascii="宋体" w:eastAsia="宋体" w:hAnsi="宋体" w:cs="Times New Roman" w:hint="eastAsia"/>
          <w:kern w:val="0"/>
          <w:szCs w:val="21"/>
        </w:rPr>
        <w:t>非零元素）</w:t>
      </w:r>
    </w:p>
    <w:p w14:paraId="0859E791" w14:textId="58F7AC7A" w:rsidR="00F2398F" w:rsidRDefault="00F2398F" w:rsidP="00F2398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文章提出了一种基于传统压缩矩阵格式的P</w:t>
      </w:r>
      <w:r>
        <w:rPr>
          <w:rFonts w:ascii="宋体" w:eastAsia="宋体" w:hAnsi="宋体" w:cs="Times New Roman"/>
          <w:kern w:val="0"/>
          <w:szCs w:val="21"/>
        </w:rPr>
        <w:t>E</w:t>
      </w:r>
      <w:r>
        <w:rPr>
          <w:rFonts w:ascii="宋体" w:eastAsia="宋体" w:hAnsi="宋体" w:cs="Times New Roman" w:hint="eastAsia"/>
          <w:kern w:val="0"/>
          <w:szCs w:val="21"/>
        </w:rPr>
        <w:t>及其阵列组合作为b</w:t>
      </w:r>
      <w:r>
        <w:rPr>
          <w:rFonts w:ascii="宋体" w:eastAsia="宋体" w:hAnsi="宋体" w:cs="Times New Roman"/>
          <w:kern w:val="0"/>
          <w:szCs w:val="21"/>
        </w:rPr>
        <w:t>aseline</w:t>
      </w:r>
      <w:r>
        <w:rPr>
          <w:rFonts w:ascii="宋体" w:eastAsia="宋体" w:hAnsi="宋体" w:cs="Times New Roman" w:hint="eastAsia"/>
          <w:kern w:val="0"/>
          <w:szCs w:val="21"/>
        </w:rPr>
        <w:t>。文章证明了在没有额外优化的情况下，图数据分布的2-</w:t>
      </w:r>
      <w:r>
        <w:rPr>
          <w:rFonts w:ascii="宋体" w:eastAsia="宋体" w:hAnsi="宋体" w:cs="Times New Roman"/>
          <w:kern w:val="0"/>
          <w:szCs w:val="21"/>
        </w:rPr>
        <w:t>8</w:t>
      </w:r>
      <w:r>
        <w:rPr>
          <w:rFonts w:ascii="宋体" w:eastAsia="宋体" w:hAnsi="宋体" w:cs="Times New Roman" w:hint="eastAsia"/>
          <w:kern w:val="0"/>
          <w:szCs w:val="21"/>
        </w:rPr>
        <w:t>定律会使P</w:t>
      </w:r>
      <w:r>
        <w:rPr>
          <w:rFonts w:ascii="宋体" w:eastAsia="宋体" w:hAnsi="宋体" w:cs="Times New Roman"/>
          <w:kern w:val="0"/>
          <w:szCs w:val="21"/>
        </w:rPr>
        <w:t>E</w:t>
      </w:r>
      <w:r>
        <w:rPr>
          <w:rFonts w:ascii="宋体" w:eastAsia="宋体" w:hAnsi="宋体" w:cs="Times New Roman" w:hint="eastAsia"/>
          <w:kern w:val="0"/>
          <w:szCs w:val="21"/>
        </w:rPr>
        <w:t>负载及其不均衡，导致资源利用率不高和拖慢整体计算速度。</w:t>
      </w:r>
    </w:p>
    <w:p w14:paraId="30A09E63" w14:textId="2169EDB6" w:rsidR="00D0562E" w:rsidRDefault="00C15916" w:rsidP="00C15916">
      <w:pPr>
        <w:pStyle w:val="a3"/>
        <w:autoSpaceDE w:val="0"/>
        <w:autoSpaceDN w:val="0"/>
        <w:adjustRightInd w:val="0"/>
        <w:ind w:left="720" w:firstLineChars="0" w:firstLine="0"/>
        <w:jc w:val="center"/>
        <w:rPr>
          <w:rFonts w:ascii="宋体" w:eastAsia="宋体" w:hAnsi="宋体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36C87556" wp14:editId="24895D7D">
            <wp:extent cx="3525926" cy="1634338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4440" cy="164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1F1A" w14:textId="068F5A05" w:rsidR="00B94A8F" w:rsidRDefault="00CB7E43" w:rsidP="001C2DDC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宋体" w:eastAsia="宋体" w:hAnsi="宋体" w:cs="Times New Roman"/>
          <w:kern w:val="0"/>
          <w:szCs w:val="21"/>
        </w:rPr>
      </w:pPr>
      <w:r w:rsidRPr="001C2DDC">
        <w:rPr>
          <w:rFonts w:ascii="宋体" w:eastAsia="宋体" w:hAnsi="宋体" w:cs="Times New Roman" w:hint="eastAsia"/>
          <w:kern w:val="0"/>
          <w:szCs w:val="21"/>
        </w:rPr>
        <w:t>针对（2）中的现象，文章提出了负载均衡的方法来提高P</w:t>
      </w:r>
      <w:r w:rsidRPr="001C2DDC">
        <w:rPr>
          <w:rFonts w:ascii="宋体" w:eastAsia="宋体" w:hAnsi="宋体" w:cs="Times New Roman"/>
          <w:kern w:val="0"/>
          <w:szCs w:val="21"/>
        </w:rPr>
        <w:t>E</w:t>
      </w:r>
      <w:r w:rsidRPr="001C2DDC">
        <w:rPr>
          <w:rFonts w:ascii="宋体" w:eastAsia="宋体" w:hAnsi="宋体" w:cs="Times New Roman" w:hint="eastAsia"/>
          <w:kern w:val="0"/>
          <w:szCs w:val="21"/>
        </w:rPr>
        <w:t>利用率并缩短整体计算时间。</w:t>
      </w:r>
      <w:r w:rsidR="001556D2" w:rsidRPr="001C2DDC">
        <w:rPr>
          <w:rFonts w:ascii="宋体" w:eastAsia="宋体" w:hAnsi="宋体" w:cs="Times New Roman" w:hint="eastAsia"/>
          <w:kern w:val="0"/>
          <w:szCs w:val="21"/>
        </w:rPr>
        <w:t>文章将（2）中的</w:t>
      </w:r>
      <w:r w:rsidR="001556D2" w:rsidRPr="001C2DDC">
        <w:rPr>
          <w:rFonts w:ascii="宋体" w:eastAsia="宋体" w:hAnsi="宋体" w:cs="Times New Roman"/>
          <w:kern w:val="0"/>
          <w:szCs w:val="21"/>
        </w:rPr>
        <w:t>PE</w:t>
      </w:r>
      <w:r w:rsidR="001556D2" w:rsidRPr="001C2DDC">
        <w:rPr>
          <w:rFonts w:ascii="宋体" w:eastAsia="宋体" w:hAnsi="宋体" w:cs="Times New Roman" w:hint="eastAsia"/>
          <w:kern w:val="0"/>
          <w:szCs w:val="21"/>
        </w:rPr>
        <w:t>进行重新组合，相邻的n个为一组。文章设计了一种任务队</w:t>
      </w:r>
      <w:r w:rsidR="001556D2" w:rsidRPr="001C2DDC">
        <w:rPr>
          <w:rFonts w:ascii="宋体" w:eastAsia="宋体" w:hAnsi="宋体" w:cs="Times New Roman" w:hint="eastAsia"/>
          <w:kern w:val="0"/>
          <w:szCs w:val="21"/>
        </w:rPr>
        <w:lastRenderedPageBreak/>
        <w:t>列硬件结构，该队列结构可以负责维护组内各P</w:t>
      </w:r>
      <w:r w:rsidR="001556D2" w:rsidRPr="001C2DDC">
        <w:rPr>
          <w:rFonts w:ascii="宋体" w:eastAsia="宋体" w:hAnsi="宋体" w:cs="Times New Roman"/>
          <w:kern w:val="0"/>
          <w:szCs w:val="21"/>
        </w:rPr>
        <w:t>E</w:t>
      </w:r>
      <w:r w:rsidR="001556D2" w:rsidRPr="001C2DDC">
        <w:rPr>
          <w:rFonts w:ascii="宋体" w:eastAsia="宋体" w:hAnsi="宋体" w:cs="Times New Roman" w:hint="eastAsia"/>
          <w:kern w:val="0"/>
          <w:szCs w:val="21"/>
        </w:rPr>
        <w:t>的负载均衡，将</w:t>
      </w:r>
      <w:r w:rsidR="007404D5" w:rsidRPr="001C2DDC">
        <w:rPr>
          <w:rFonts w:ascii="宋体" w:eastAsia="宋体" w:hAnsi="宋体" w:cs="Times New Roman" w:hint="eastAsia"/>
          <w:kern w:val="0"/>
          <w:szCs w:val="21"/>
        </w:rPr>
        <w:t>等待计算的任务（在图卷积计算中通常对应矩阵的某个位置或某个基本分块）</w:t>
      </w:r>
      <w:r w:rsidR="001C2DDC" w:rsidRPr="001C2DDC">
        <w:rPr>
          <w:rFonts w:ascii="宋体" w:eastAsia="宋体" w:hAnsi="宋体" w:cs="Times New Roman" w:hint="eastAsia"/>
          <w:kern w:val="0"/>
          <w:szCs w:val="21"/>
        </w:rPr>
        <w:t>平均的分发给组内的各个P</w:t>
      </w:r>
      <w:r w:rsidR="001C2DDC" w:rsidRPr="001C2DDC">
        <w:rPr>
          <w:rFonts w:ascii="宋体" w:eastAsia="宋体" w:hAnsi="宋体" w:cs="Times New Roman"/>
          <w:kern w:val="0"/>
          <w:szCs w:val="21"/>
        </w:rPr>
        <w:t>E</w:t>
      </w:r>
      <w:r w:rsidR="001C2DDC" w:rsidRPr="001C2DDC">
        <w:rPr>
          <w:rFonts w:ascii="宋体" w:eastAsia="宋体" w:hAnsi="宋体" w:cs="Times New Roman" w:hint="eastAsia"/>
          <w:kern w:val="0"/>
          <w:szCs w:val="21"/>
        </w:rPr>
        <w:t>；</w:t>
      </w:r>
    </w:p>
    <w:p w14:paraId="447D218C" w14:textId="16269B7B" w:rsidR="00E565C2" w:rsidRPr="001C2DDC" w:rsidRDefault="00E565C2" w:rsidP="00E565C2">
      <w:pPr>
        <w:pStyle w:val="a3"/>
        <w:autoSpaceDE w:val="0"/>
        <w:autoSpaceDN w:val="0"/>
        <w:adjustRightInd w:val="0"/>
        <w:ind w:left="720" w:firstLineChars="0" w:firstLine="0"/>
        <w:jc w:val="center"/>
        <w:rPr>
          <w:rFonts w:ascii="宋体" w:eastAsia="宋体" w:hAnsi="宋体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62277E92" wp14:editId="754D121D">
            <wp:extent cx="3430829" cy="25986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743" cy="26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C230" w14:textId="61FC2237" w:rsidR="001C2DDC" w:rsidRDefault="001C2DDC" w:rsidP="001C2DDC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（</w:t>
      </w:r>
      <w:r>
        <w:rPr>
          <w:rFonts w:ascii="宋体" w:eastAsia="宋体" w:hAnsi="宋体" w:cs="Times New Roman"/>
          <w:kern w:val="0"/>
          <w:szCs w:val="21"/>
        </w:rPr>
        <w:t>3</w:t>
      </w:r>
      <w:r>
        <w:rPr>
          <w:rFonts w:ascii="宋体" w:eastAsia="宋体" w:hAnsi="宋体" w:cs="Times New Roman" w:hint="eastAsia"/>
          <w:kern w:val="0"/>
          <w:szCs w:val="21"/>
        </w:rPr>
        <w:t>）中的方法针对的是基本矩阵分块内部的负载均衡，但（1）（2）中的图例表明，图卷积矩阵在更大的范围上存在数据分布不均衡的问题，对应硬件则表现为某些P</w:t>
      </w:r>
      <w:r>
        <w:rPr>
          <w:rFonts w:ascii="宋体" w:eastAsia="宋体" w:hAnsi="宋体" w:cs="Times New Roman"/>
          <w:kern w:val="0"/>
          <w:szCs w:val="21"/>
        </w:rPr>
        <w:t>E</w:t>
      </w:r>
      <w:r>
        <w:rPr>
          <w:rFonts w:ascii="宋体" w:eastAsia="宋体" w:hAnsi="宋体" w:cs="Times New Roman" w:hint="eastAsia"/>
          <w:kern w:val="0"/>
          <w:szCs w:val="21"/>
        </w:rPr>
        <w:t>组相对空闲，但某些P</w:t>
      </w:r>
      <w:r>
        <w:rPr>
          <w:rFonts w:ascii="宋体" w:eastAsia="宋体" w:hAnsi="宋体" w:cs="Times New Roman"/>
          <w:kern w:val="0"/>
          <w:szCs w:val="21"/>
        </w:rPr>
        <w:t>E</w:t>
      </w:r>
      <w:r>
        <w:rPr>
          <w:rFonts w:ascii="宋体" w:eastAsia="宋体" w:hAnsi="宋体" w:cs="Times New Roman" w:hint="eastAsia"/>
          <w:kern w:val="0"/>
          <w:szCs w:val="21"/>
        </w:rPr>
        <w:t>组极其繁忙。</w:t>
      </w:r>
    </w:p>
    <w:p w14:paraId="20B97EA2" w14:textId="411DC021" w:rsidR="00D326BA" w:rsidRDefault="00D326BA" w:rsidP="009C1082">
      <w:pPr>
        <w:pStyle w:val="a3"/>
        <w:autoSpaceDE w:val="0"/>
        <w:autoSpaceDN w:val="0"/>
        <w:adjustRightInd w:val="0"/>
        <w:ind w:left="720" w:firstLineChars="0" w:firstLine="0"/>
        <w:jc w:val="center"/>
        <w:rPr>
          <w:rFonts w:ascii="宋体" w:eastAsia="宋体" w:hAnsi="宋体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3B972DA9" wp14:editId="2AA6191A">
            <wp:extent cx="2801213" cy="185935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572" cy="18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88FB" w14:textId="5F36FD84" w:rsidR="009C1082" w:rsidRDefault="009C1082" w:rsidP="009C1082">
      <w:pPr>
        <w:pStyle w:val="a3"/>
        <w:autoSpaceDE w:val="0"/>
        <w:autoSpaceDN w:val="0"/>
        <w:adjustRightInd w:val="0"/>
        <w:ind w:left="72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文章在每个P</w:t>
      </w:r>
      <w:r>
        <w:rPr>
          <w:rFonts w:ascii="宋体" w:eastAsia="宋体" w:hAnsi="宋体" w:cs="Times New Roman"/>
          <w:kern w:val="0"/>
          <w:szCs w:val="21"/>
        </w:rPr>
        <w:t>E</w:t>
      </w:r>
      <w:r>
        <w:rPr>
          <w:rFonts w:ascii="宋体" w:eastAsia="宋体" w:hAnsi="宋体" w:cs="Times New Roman" w:hint="eastAsia"/>
          <w:kern w:val="0"/>
          <w:szCs w:val="21"/>
        </w:rPr>
        <w:t>组内部都加入了1-ho</w:t>
      </w:r>
      <w:r>
        <w:rPr>
          <w:rFonts w:ascii="宋体" w:eastAsia="宋体" w:hAnsi="宋体" w:cs="Times New Roman"/>
          <w:kern w:val="0"/>
          <w:szCs w:val="21"/>
        </w:rPr>
        <w:t>p</w:t>
      </w:r>
      <w:r>
        <w:rPr>
          <w:rFonts w:ascii="宋体" w:eastAsia="宋体" w:hAnsi="宋体" w:cs="Times New Roman" w:hint="eastAsia"/>
          <w:kern w:val="0"/>
          <w:szCs w:val="21"/>
        </w:rPr>
        <w:t>的相连通信网络，每个P</w:t>
      </w:r>
      <w:r>
        <w:rPr>
          <w:rFonts w:ascii="宋体" w:eastAsia="宋体" w:hAnsi="宋体" w:cs="Times New Roman"/>
          <w:kern w:val="0"/>
          <w:szCs w:val="21"/>
        </w:rPr>
        <w:t>E</w:t>
      </w:r>
      <w:r>
        <w:rPr>
          <w:rFonts w:ascii="宋体" w:eastAsia="宋体" w:hAnsi="宋体" w:cs="Times New Roman" w:hint="eastAsia"/>
          <w:kern w:val="0"/>
          <w:szCs w:val="21"/>
        </w:rPr>
        <w:t>组都可以将</w:t>
      </w:r>
      <w:r w:rsidR="00F614A5">
        <w:rPr>
          <w:rFonts w:ascii="宋体" w:eastAsia="宋体" w:hAnsi="宋体" w:cs="Times New Roman" w:hint="eastAsia"/>
          <w:kern w:val="0"/>
          <w:szCs w:val="21"/>
        </w:rPr>
        <w:t>自己需要等待</w:t>
      </w:r>
      <w:r>
        <w:rPr>
          <w:rFonts w:ascii="宋体" w:eastAsia="宋体" w:hAnsi="宋体" w:cs="Times New Roman" w:hint="eastAsia"/>
          <w:kern w:val="0"/>
          <w:szCs w:val="21"/>
        </w:rPr>
        <w:t>的任务分发给</w:t>
      </w:r>
      <w:r w:rsidR="00DF3A86">
        <w:rPr>
          <w:rFonts w:ascii="宋体" w:eastAsia="宋体" w:hAnsi="宋体" w:cs="Times New Roman" w:hint="eastAsia"/>
          <w:kern w:val="0"/>
          <w:szCs w:val="21"/>
        </w:rPr>
        <w:t>1跳内</w:t>
      </w:r>
      <w:r>
        <w:rPr>
          <w:rFonts w:ascii="宋体" w:eastAsia="宋体" w:hAnsi="宋体" w:cs="Times New Roman" w:hint="eastAsia"/>
          <w:kern w:val="0"/>
          <w:szCs w:val="21"/>
        </w:rPr>
        <w:t>空闲的邻居</w:t>
      </w:r>
      <w:r w:rsidR="00DF3A86">
        <w:rPr>
          <w:rFonts w:ascii="宋体" w:eastAsia="宋体" w:hAnsi="宋体" w:cs="Times New Roman" w:hint="eastAsia"/>
          <w:kern w:val="0"/>
          <w:szCs w:val="21"/>
        </w:rPr>
        <w:t>，若邻居的负载也很高，则继续向下一跳分发。</w:t>
      </w:r>
      <w:r w:rsidR="00F35B6C">
        <w:rPr>
          <w:rFonts w:ascii="宋体" w:eastAsia="宋体" w:hAnsi="宋体" w:cs="Times New Roman" w:hint="eastAsia"/>
          <w:kern w:val="0"/>
          <w:szCs w:val="21"/>
        </w:rPr>
        <w:t>如果分发范围由1-</w:t>
      </w:r>
      <w:r w:rsidR="00F35B6C">
        <w:rPr>
          <w:rFonts w:ascii="宋体" w:eastAsia="宋体" w:hAnsi="宋体" w:cs="Times New Roman"/>
          <w:kern w:val="0"/>
          <w:szCs w:val="21"/>
        </w:rPr>
        <w:t>hop</w:t>
      </w:r>
      <w:r w:rsidR="00F35B6C">
        <w:rPr>
          <w:rFonts w:ascii="宋体" w:eastAsia="宋体" w:hAnsi="宋体" w:cs="Times New Roman" w:hint="eastAsia"/>
          <w:kern w:val="0"/>
          <w:szCs w:val="21"/>
        </w:rPr>
        <w:t>扩展到n</w:t>
      </w:r>
      <w:r w:rsidR="00F35B6C">
        <w:rPr>
          <w:rFonts w:ascii="宋体" w:eastAsia="宋体" w:hAnsi="宋体" w:cs="Times New Roman"/>
          <w:kern w:val="0"/>
          <w:szCs w:val="21"/>
        </w:rPr>
        <w:t>-hop</w:t>
      </w:r>
      <w:r w:rsidR="00F35B6C">
        <w:rPr>
          <w:rFonts w:ascii="宋体" w:eastAsia="宋体" w:hAnsi="宋体" w:cs="Times New Roman" w:hint="eastAsia"/>
          <w:kern w:val="0"/>
          <w:szCs w:val="21"/>
        </w:rPr>
        <w:t>，则run</w:t>
      </w:r>
      <w:r w:rsidR="00F35B6C">
        <w:rPr>
          <w:rFonts w:ascii="宋体" w:eastAsia="宋体" w:hAnsi="宋体" w:cs="Times New Roman"/>
          <w:kern w:val="0"/>
          <w:szCs w:val="21"/>
        </w:rPr>
        <w:t>time</w:t>
      </w:r>
      <w:r w:rsidR="00F35B6C">
        <w:rPr>
          <w:rFonts w:ascii="宋体" w:eastAsia="宋体" w:hAnsi="宋体" w:cs="Times New Roman" w:hint="eastAsia"/>
          <w:kern w:val="0"/>
          <w:szCs w:val="21"/>
        </w:rPr>
        <w:t>均衡效果会更好，但n</w:t>
      </w:r>
      <w:r w:rsidR="00F35B6C">
        <w:rPr>
          <w:rFonts w:ascii="宋体" w:eastAsia="宋体" w:hAnsi="宋体" w:cs="Times New Roman"/>
          <w:kern w:val="0"/>
          <w:szCs w:val="21"/>
        </w:rPr>
        <w:t>-hop</w:t>
      </w:r>
      <w:r w:rsidR="00F35B6C">
        <w:rPr>
          <w:rFonts w:ascii="宋体" w:eastAsia="宋体" w:hAnsi="宋体" w:cs="Times New Roman" w:hint="eastAsia"/>
          <w:kern w:val="0"/>
          <w:szCs w:val="21"/>
        </w:rPr>
        <w:t>的设计会带来更多的硬件资源开销，因此文章最终还是采用了1-</w:t>
      </w:r>
      <w:r w:rsidR="00F35B6C">
        <w:rPr>
          <w:rFonts w:ascii="宋体" w:eastAsia="宋体" w:hAnsi="宋体" w:cs="Times New Roman"/>
          <w:kern w:val="0"/>
          <w:szCs w:val="21"/>
        </w:rPr>
        <w:t>hop</w:t>
      </w:r>
      <w:r w:rsidR="00F35B6C">
        <w:rPr>
          <w:rFonts w:ascii="宋体" w:eastAsia="宋体" w:hAnsi="宋体" w:cs="Times New Roman" w:hint="eastAsia"/>
          <w:kern w:val="0"/>
          <w:szCs w:val="21"/>
        </w:rPr>
        <w:t>的设计。</w:t>
      </w:r>
    </w:p>
    <w:p w14:paraId="202F3D54" w14:textId="5531C807" w:rsidR="00F24A33" w:rsidRDefault="00F24A33" w:rsidP="00F24A33">
      <w:pPr>
        <w:pStyle w:val="a3"/>
        <w:autoSpaceDE w:val="0"/>
        <w:autoSpaceDN w:val="0"/>
        <w:adjustRightInd w:val="0"/>
        <w:ind w:left="720" w:firstLineChars="0" w:firstLine="0"/>
        <w:jc w:val="center"/>
        <w:rPr>
          <w:rFonts w:ascii="宋体" w:eastAsia="宋体" w:hAnsi="宋体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5C6BBB71" wp14:editId="2C02C946">
            <wp:extent cx="3190875" cy="923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A682" w14:textId="453359E5" w:rsidR="000C22C3" w:rsidRDefault="000C22C3" w:rsidP="00F24A33">
      <w:pPr>
        <w:pStyle w:val="a3"/>
        <w:autoSpaceDE w:val="0"/>
        <w:autoSpaceDN w:val="0"/>
        <w:adjustRightInd w:val="0"/>
        <w:ind w:left="720" w:firstLineChars="0" w:firstLine="0"/>
        <w:jc w:val="center"/>
        <w:rPr>
          <w:rFonts w:ascii="宋体" w:eastAsia="宋体" w:hAnsi="宋体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9C312FB" wp14:editId="78C56A42">
            <wp:extent cx="2672573" cy="19137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047" cy="19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311" w14:textId="36D9024E" w:rsidR="00515F35" w:rsidRPr="001C2DDC" w:rsidRDefault="00515F35" w:rsidP="00515F35">
      <w:pPr>
        <w:pStyle w:val="a3"/>
        <w:autoSpaceDE w:val="0"/>
        <w:autoSpaceDN w:val="0"/>
        <w:adjustRightInd w:val="0"/>
        <w:ind w:left="720" w:firstLineChars="0" w:firstLine="0"/>
        <w:rPr>
          <w:rFonts w:ascii="宋体" w:eastAsia="宋体" w:hAnsi="宋体" w:cs="Times New Roman" w:hint="eastAsia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（5）文章</w:t>
      </w:r>
      <w:r w:rsidR="0087379F">
        <w:rPr>
          <w:rFonts w:ascii="宋体" w:eastAsia="宋体" w:hAnsi="宋体" w:cs="Times New Roman" w:hint="eastAsia"/>
          <w:kern w:val="0"/>
          <w:szCs w:val="21"/>
        </w:rPr>
        <w:t>使用了A</w:t>
      </w:r>
      <w:r w:rsidR="0087379F">
        <w:rPr>
          <w:rFonts w:ascii="宋体" w:eastAsia="宋体" w:hAnsi="宋体" w:cs="Times New Roman"/>
          <w:kern w:val="0"/>
          <w:szCs w:val="21"/>
        </w:rPr>
        <w:t>SIC</w:t>
      </w:r>
      <w:r w:rsidR="0087379F">
        <w:rPr>
          <w:rFonts w:ascii="宋体" w:eastAsia="宋体" w:hAnsi="宋体" w:cs="Times New Roman" w:hint="eastAsia"/>
          <w:kern w:val="0"/>
          <w:szCs w:val="21"/>
        </w:rPr>
        <w:t>平台进行验证，</w:t>
      </w:r>
      <w:r w:rsidR="00C52EA8">
        <w:rPr>
          <w:rFonts w:ascii="宋体" w:eastAsia="宋体" w:hAnsi="宋体" w:cs="Times New Roman" w:hint="eastAsia"/>
          <w:kern w:val="0"/>
          <w:szCs w:val="21"/>
        </w:rPr>
        <w:t>在4</w:t>
      </w:r>
      <w:r w:rsidR="00C52EA8">
        <w:rPr>
          <w:rFonts w:ascii="宋体" w:eastAsia="宋体" w:hAnsi="宋体" w:cs="Times New Roman"/>
          <w:kern w:val="0"/>
          <w:szCs w:val="21"/>
        </w:rPr>
        <w:t>096PE</w:t>
      </w:r>
      <w:r w:rsidR="00C52EA8">
        <w:rPr>
          <w:rFonts w:ascii="宋体" w:eastAsia="宋体" w:hAnsi="宋体" w:cs="Times New Roman" w:hint="eastAsia"/>
          <w:kern w:val="0"/>
          <w:szCs w:val="21"/>
        </w:rPr>
        <w:t>的设计下取得了相对于C</w:t>
      </w:r>
      <w:r w:rsidR="00C52EA8">
        <w:rPr>
          <w:rFonts w:ascii="宋体" w:eastAsia="宋体" w:hAnsi="宋体" w:cs="Times New Roman"/>
          <w:kern w:val="0"/>
          <w:szCs w:val="21"/>
        </w:rPr>
        <w:t>PU</w:t>
      </w:r>
      <w:r w:rsidR="00C52EA8">
        <w:rPr>
          <w:rFonts w:ascii="宋体" w:eastAsia="宋体" w:hAnsi="宋体" w:cs="Times New Roman" w:hint="eastAsia"/>
          <w:kern w:val="0"/>
          <w:szCs w:val="21"/>
        </w:rPr>
        <w:t>2</w:t>
      </w:r>
      <w:r w:rsidR="00C52EA8">
        <w:rPr>
          <w:rFonts w:ascii="宋体" w:eastAsia="宋体" w:hAnsi="宋体" w:cs="Times New Roman"/>
          <w:kern w:val="0"/>
          <w:szCs w:val="21"/>
        </w:rPr>
        <w:t>622</w:t>
      </w:r>
      <w:r w:rsidR="00C52EA8">
        <w:rPr>
          <w:rFonts w:ascii="宋体" w:eastAsia="宋体" w:hAnsi="宋体" w:cs="Times New Roman" w:hint="eastAsia"/>
          <w:kern w:val="0"/>
          <w:szCs w:val="21"/>
        </w:rPr>
        <w:t>x和相对于G</w:t>
      </w:r>
      <w:r w:rsidR="00C52EA8">
        <w:rPr>
          <w:rFonts w:ascii="宋体" w:eastAsia="宋体" w:hAnsi="宋体" w:cs="Times New Roman"/>
          <w:kern w:val="0"/>
          <w:szCs w:val="21"/>
        </w:rPr>
        <w:t>PU136</w:t>
      </w:r>
      <w:r w:rsidR="00C52EA8">
        <w:rPr>
          <w:rFonts w:ascii="宋体" w:eastAsia="宋体" w:hAnsi="宋体" w:cs="Times New Roman" w:hint="eastAsia"/>
          <w:kern w:val="0"/>
          <w:szCs w:val="21"/>
        </w:rPr>
        <w:t>x的加速比。</w:t>
      </w:r>
    </w:p>
    <w:sectPr w:rsidR="00515F35" w:rsidRPr="001C2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141"/>
    <w:multiLevelType w:val="hybridMultilevel"/>
    <w:tmpl w:val="1EDE7288"/>
    <w:lvl w:ilvl="0" w:tplc="B332F9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64FE3"/>
    <w:multiLevelType w:val="hybridMultilevel"/>
    <w:tmpl w:val="1BCE32D8"/>
    <w:lvl w:ilvl="0" w:tplc="F566DA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06AF8"/>
    <w:multiLevelType w:val="hybridMultilevel"/>
    <w:tmpl w:val="4BE88D0C"/>
    <w:lvl w:ilvl="0" w:tplc="FCAE2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A07A6"/>
    <w:multiLevelType w:val="hybridMultilevel"/>
    <w:tmpl w:val="DA5208EA"/>
    <w:lvl w:ilvl="0" w:tplc="033C5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CF92D66"/>
    <w:multiLevelType w:val="hybridMultilevel"/>
    <w:tmpl w:val="C3B21BE4"/>
    <w:lvl w:ilvl="0" w:tplc="C5D64F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552D77"/>
    <w:multiLevelType w:val="hybridMultilevel"/>
    <w:tmpl w:val="E9308634"/>
    <w:lvl w:ilvl="0" w:tplc="D82467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83"/>
    <w:rsid w:val="00055E58"/>
    <w:rsid w:val="000C22C3"/>
    <w:rsid w:val="001036BF"/>
    <w:rsid w:val="001556D2"/>
    <w:rsid w:val="001B7BAB"/>
    <w:rsid w:val="001C2DDC"/>
    <w:rsid w:val="002064A0"/>
    <w:rsid w:val="00213290"/>
    <w:rsid w:val="00254EDA"/>
    <w:rsid w:val="00280531"/>
    <w:rsid w:val="002D13A3"/>
    <w:rsid w:val="002D6020"/>
    <w:rsid w:val="003563C6"/>
    <w:rsid w:val="003D6E09"/>
    <w:rsid w:val="00436316"/>
    <w:rsid w:val="00471286"/>
    <w:rsid w:val="004C529E"/>
    <w:rsid w:val="004D502C"/>
    <w:rsid w:val="00515F35"/>
    <w:rsid w:val="005A157E"/>
    <w:rsid w:val="005C484C"/>
    <w:rsid w:val="007404D5"/>
    <w:rsid w:val="00742B69"/>
    <w:rsid w:val="00777EAB"/>
    <w:rsid w:val="00834451"/>
    <w:rsid w:val="0087379F"/>
    <w:rsid w:val="009576E5"/>
    <w:rsid w:val="009C000C"/>
    <w:rsid w:val="009C1082"/>
    <w:rsid w:val="00A56C8F"/>
    <w:rsid w:val="00B832CE"/>
    <w:rsid w:val="00B94A8F"/>
    <w:rsid w:val="00BB424E"/>
    <w:rsid w:val="00C15916"/>
    <w:rsid w:val="00C52EA8"/>
    <w:rsid w:val="00C97011"/>
    <w:rsid w:val="00CA3F83"/>
    <w:rsid w:val="00CB7E43"/>
    <w:rsid w:val="00D0562E"/>
    <w:rsid w:val="00D138DD"/>
    <w:rsid w:val="00D20988"/>
    <w:rsid w:val="00D326BA"/>
    <w:rsid w:val="00D9727A"/>
    <w:rsid w:val="00DF3A86"/>
    <w:rsid w:val="00E018B3"/>
    <w:rsid w:val="00E565C2"/>
    <w:rsid w:val="00F2398F"/>
    <w:rsid w:val="00F24A33"/>
    <w:rsid w:val="00F35B6C"/>
    <w:rsid w:val="00F614A5"/>
    <w:rsid w:val="00FA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53C5"/>
  <w15:chartTrackingRefBased/>
  <w15:docId w15:val="{5AA5C987-2EF3-45EE-86FA-4C6909E9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B:\wd\FG-052D\FG-052D\052c%20doc\&#25968;&#25454;&#32479;&#357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B:\wd\FG-052D\FG-052D\052c%20doc\&#25968;&#25454;&#32479;&#3574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权值数据分布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Sheet1!$B$1:$B$16</c:f>
              <c:strCache>
                <c:ptCount val="16"/>
                <c:pt idx="0">
                  <c:v>2 ~ inf</c:v>
                </c:pt>
                <c:pt idx="1">
                  <c:v>1.0 - 2.0</c:v>
                </c:pt>
                <c:pt idx="2">
                  <c:v>0.1 - 1.0</c:v>
                </c:pt>
                <c:pt idx="3">
                  <c:v>0.01 - 0.1</c:v>
                </c:pt>
                <c:pt idx="4">
                  <c:v>0.001 - 0.01</c:v>
                </c:pt>
                <c:pt idx="5">
                  <c:v>0.0001 - 0.001</c:v>
                </c:pt>
                <c:pt idx="6">
                  <c:v>0 - 0.0001</c:v>
                </c:pt>
                <c:pt idx="7">
                  <c:v>0</c:v>
                </c:pt>
                <c:pt idx="8">
                  <c:v>`-0.0001 - 0.0</c:v>
                </c:pt>
                <c:pt idx="9">
                  <c:v>`-0.001 - -0.0001</c:v>
                </c:pt>
                <c:pt idx="10">
                  <c:v>`0.01 - -0.001</c:v>
                </c:pt>
                <c:pt idx="11">
                  <c:v>`-0.1 - -0.01</c:v>
                </c:pt>
                <c:pt idx="12">
                  <c:v>`-1.0 -  -0.1</c:v>
                </c:pt>
                <c:pt idx="13">
                  <c:v>`-2.0 - ` -1.0</c:v>
                </c:pt>
                <c:pt idx="14">
                  <c:v>`-inf - -2.0</c:v>
                </c:pt>
                <c:pt idx="15">
                  <c:v>total</c:v>
                </c:pt>
              </c:strCache>
            </c:strRef>
          </c:cat>
          <c:val>
            <c:numRef>
              <c:f>Sheet1!$C$1:$C$16</c:f>
              <c:numCache>
                <c:formatCode>General</c:formatCode>
                <c:ptCount val="16"/>
                <c:pt idx="0">
                  <c:v>928</c:v>
                </c:pt>
                <c:pt idx="1">
                  <c:v>1355</c:v>
                </c:pt>
                <c:pt idx="2">
                  <c:v>63379</c:v>
                </c:pt>
                <c:pt idx="3">
                  <c:v>777468</c:v>
                </c:pt>
                <c:pt idx="4">
                  <c:v>504054</c:v>
                </c:pt>
                <c:pt idx="5">
                  <c:v>177262</c:v>
                </c:pt>
                <c:pt idx="6">
                  <c:v>53339</c:v>
                </c:pt>
                <c:pt idx="7">
                  <c:v>3</c:v>
                </c:pt>
                <c:pt idx="8">
                  <c:v>54641</c:v>
                </c:pt>
                <c:pt idx="9">
                  <c:v>190065</c:v>
                </c:pt>
                <c:pt idx="10">
                  <c:v>580197</c:v>
                </c:pt>
                <c:pt idx="11">
                  <c:v>1011470</c:v>
                </c:pt>
                <c:pt idx="12">
                  <c:v>62106</c:v>
                </c:pt>
                <c:pt idx="13">
                  <c:v>548</c:v>
                </c:pt>
                <c:pt idx="14">
                  <c:v>317</c:v>
                </c:pt>
                <c:pt idx="15">
                  <c:v>3477132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F6-4EDF-93DE-CC6232AE9D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385656"/>
        <c:axId val="716385984"/>
      </c:barChart>
      <c:catAx>
        <c:axId val="716385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6385984"/>
        <c:crosses val="autoZero"/>
        <c:auto val="1"/>
        <c:lblAlgn val="ctr"/>
        <c:lblOffset val="100"/>
        <c:noMultiLvlLbl val="0"/>
      </c:catAx>
      <c:valAx>
        <c:axId val="71638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6385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feature</a:t>
            </a:r>
            <a:r>
              <a:rPr lang="zh-CN" altLang="en-US"/>
              <a:t>稀疏度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Sheet1!$B$22:$B$32</c:f>
              <c:strCache>
                <c:ptCount val="11"/>
                <c:pt idx="0">
                  <c:v>l1_input</c:v>
                </c:pt>
                <c:pt idx="1">
                  <c:v>l1_out</c:v>
                </c:pt>
                <c:pt idx="2">
                  <c:v>l2_out</c:v>
                </c:pt>
                <c:pt idx="3">
                  <c:v>l3_out</c:v>
                </c:pt>
                <c:pt idx="4">
                  <c:v>l4_out</c:v>
                </c:pt>
                <c:pt idx="5">
                  <c:v>l5_out</c:v>
                </c:pt>
                <c:pt idx="6">
                  <c:v>l6_out</c:v>
                </c:pt>
                <c:pt idx="7">
                  <c:v>l7_out</c:v>
                </c:pt>
                <c:pt idx="8">
                  <c:v>l8_out</c:v>
                </c:pt>
                <c:pt idx="9">
                  <c:v>l9_out</c:v>
                </c:pt>
                <c:pt idx="10">
                  <c:v>l10_out</c:v>
                </c:pt>
              </c:strCache>
            </c:strRef>
          </c:cat>
          <c:val>
            <c:numRef>
              <c:f>Sheet1!$C$22:$C$32</c:f>
              <c:numCache>
                <c:formatCode>General</c:formatCode>
                <c:ptCount val="11"/>
                <c:pt idx="0">
                  <c:v>0</c:v>
                </c:pt>
                <c:pt idx="1">
                  <c:v>0.34773020833333301</c:v>
                </c:pt>
                <c:pt idx="2">
                  <c:v>0.20481666666666601</c:v>
                </c:pt>
                <c:pt idx="3">
                  <c:v>0.16515416666666599</c:v>
                </c:pt>
                <c:pt idx="4">
                  <c:v>0.11826666666666601</c:v>
                </c:pt>
                <c:pt idx="5">
                  <c:v>0.53400937500000001</c:v>
                </c:pt>
                <c:pt idx="6">
                  <c:v>0.37648749999999997</c:v>
                </c:pt>
                <c:pt idx="7">
                  <c:v>0.27690208333333299</c:v>
                </c:pt>
                <c:pt idx="8">
                  <c:v>0.86655937500000002</c:v>
                </c:pt>
                <c:pt idx="9">
                  <c:v>0.77773333333333305</c:v>
                </c:pt>
                <c:pt idx="10">
                  <c:v>0.55598645833333304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E-4BDC-B0FF-510AF357A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2616192"/>
        <c:axId val="572616520"/>
      </c:barChart>
      <c:catAx>
        <c:axId val="57261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2616520"/>
        <c:crosses val="autoZero"/>
        <c:auto val="1"/>
        <c:lblAlgn val="ctr"/>
        <c:lblOffset val="100"/>
        <c:noMultiLvlLbl val="0"/>
      </c:catAx>
      <c:valAx>
        <c:axId val="572616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2616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49</cp:revision>
  <dcterms:created xsi:type="dcterms:W3CDTF">2020-10-18T07:34:00Z</dcterms:created>
  <dcterms:modified xsi:type="dcterms:W3CDTF">2020-10-18T08:23:00Z</dcterms:modified>
</cp:coreProperties>
</file>