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08" w:lineRule="auto" w:after="360"/>
        <w:jc w:val="center"/>
      </w:pPr>
      <w:r>
        <w:rPr>
          <w:rFonts w:ascii="PingFang SC" w:hAnsi="PingFang SC"/>
          <w:color w:val="2563EB"/>
          <w:sz w:val="18"/>
        </w:rPr>
      </w:r>
      <w:r>
        <w:rPr>
          <w:rFonts w:ascii="微软雅黑" w:hAnsi="微软雅黑" w:eastAsia="微软雅黑" w:cs="微软雅黑" w:hint="eastAsia"/>
          <w:color w:val="2563EB"/>
          <w:sz w:val="18"/>
          <w:lang w:eastAsia="zh-CN"/>
        </w:rPr>
        <w:t>天津市</w:t>
      </w:r>
      <w:r>
        <w:rPr>
          <w:rFonts w:ascii="PingFang SC" w:hAnsi="PingFang SC"/>
          <w:color w:val="2563EB"/>
          <w:sz w:val="18"/>
        </w:rPr>
        <w:t xml:space="preserve"> · </w:t>
      </w:r>
      <w:r>
        <w:rPr>
          <w:rFonts w:ascii="微软雅黑" w:hAnsi="微软雅黑" w:eastAsia="微软雅黑" w:cs="微软雅黑" w:hint="eastAsia"/>
          <w:color w:val="2563EB"/>
          <w:sz w:val="18"/>
          <w:lang w:eastAsia="zh-CN"/>
        </w:rPr>
        <w:t>初中学业水平考试</w:t>
      </w:r>
    </w:p>
    <w:p>
      <w:pPr>
        <w:pStyle w:val="Heading1"/>
        <w:spacing w:line="312" w:lineRule="auto" w:before="1920" w:after="288"/>
        <w:jc w:val="center"/>
      </w:pPr>
      <w:r>
        <w:rPr>
          <w:rFonts w:ascii="微软雅黑" w:hAnsi="微软雅黑" w:eastAsia="微软雅黑" w:cs="微软雅黑" w:hint="eastAsia"/>
          <w:b w:val="0"/>
          <w:color w:val="111827"/>
          <w:sz w:val="48"/>
          <w:lang w:eastAsia="zh-CN"/>
        </w:rPr>
        <w:t>天津中考规则简介</w:t>
      </w:r>
    </w:p>
    <w:p>
      <w:pPr>
        <w:spacing w:line="408" w:lineRule="auto" w:after="780"/>
        <w:jc w:val="center"/>
      </w:pPr>
      <w:r>
        <w:rPr>
          <w:rFonts w:ascii="微软雅黑" w:hAnsi="微软雅黑" w:eastAsia="微软雅黑" w:cs="微软雅黑" w:hint="eastAsia"/>
          <w:color w:val="6B7280"/>
          <w:sz w:val="26"/>
          <w:lang w:eastAsia="zh-CN"/>
        </w:rPr>
        <w:t>考试科目</w:t>
      </w:r>
      <w:r>
        <w:rPr>
          <w:rFonts w:ascii="PingFang SC" w:hAnsi="PingFang SC"/>
          <w:color w:val="6B7280"/>
          <w:sz w:val="26"/>
        </w:rPr>
        <w:t xml:space="preserve"> · </w:t>
      </w:r>
      <w:r>
        <w:rPr>
          <w:rFonts w:ascii="微软雅黑" w:hAnsi="微软雅黑" w:eastAsia="微软雅黑" w:cs="微软雅黑" w:hint="eastAsia"/>
          <w:color w:val="6B7280"/>
          <w:sz w:val="26"/>
          <w:lang w:eastAsia="zh-CN"/>
        </w:rPr>
        <w:t>志愿填报</w:t>
      </w:r>
      <w:r>
        <w:rPr>
          <w:rFonts w:ascii="PingFang SC" w:hAnsi="PingFang SC"/>
          <w:color w:val="6B7280"/>
          <w:sz w:val="26"/>
        </w:rPr>
        <w:t xml:space="preserve"> · </w:t>
      </w:r>
      <w:r>
        <w:rPr>
          <w:rFonts w:ascii="微软雅黑" w:hAnsi="微软雅黑" w:eastAsia="微软雅黑" w:cs="微软雅黑" w:hint="eastAsia"/>
          <w:color w:val="6B7280"/>
          <w:sz w:val="26"/>
          <w:lang w:eastAsia="zh-CN"/>
        </w:rPr>
        <w:t>录取规则要点速览</w:t>
      </w:r>
    </w:p>
    <w:tbl>
      <w:tblPr>
        <w:tblW w:type="auto" w:w="0"/>
        <w:jc w:val="center"/>
        <w:tblLook w:firstColumn="1" w:firstRow="1" w:lastColumn="0" w:lastRow="0" w:noHBand="0" w:noVBand="1" w:val="04A0"/>
      </w:tblPr>
      <w:tblGrid>
        <w:gridCol w:w="8640"/>
      </w:tblGrid>
      <w:tr>
        <w:tc>
          <w:tcPr>
            <w:tcW w:type="dxa" w:w="8640"/>
            <w:tcBorders>
              <w:top w:val="none" w:sz="6" w:space="0" w:color="000000"/>
              <w:bottom w:val="none" w:sz="6" w:space="0" w:color="000000"/>
              <w:left w:val="none" w:sz="6" w:space="0" w:color="000000"/>
              <w:right w:val="none" w:sz="6" w:space="0" w:color="000000"/>
            </w:tcBorders>
            <w:shd w:val="clear" w:color="auto" w:fill="FFFFFF"/>
            <w:vAlign w:val="center"/>
            <w:tcMar>
              <w:top w:w="72" w:type="dxa"/>
              <w:bottom w:w="72" w:type="dxa"/>
            </w:tcMar>
          </w:tcPr>
          <w:p>
            <w:pPr>
              <w:jc w:val="center"/>
              <w:spacing w:line="240" w:lineRule="auto" w:before="62" w:after="62"/>
            </w:pPr>
            <w:r>
              <w:rPr>
                <w:rFonts w:ascii="PingFang SC" w:hAnsi="PingFang SC" w:eastAsia="PingFang SC"/>
                <w:b w:val="0"/>
                <w:color w:val="6B7280"/>
                <w:sz w:val="18"/>
              </w:rPr>
              <w:t>文档信息</w:t>
            </w:r>
          </w:p>
        </w:tc>
      </w:tr>
      <w:tr>
        <w:tc>
          <w:tcPr>
            <w:tcW w:type="dxa" w:w="8640"/>
            <w:tcBorders>
              <w:top w:val="none" w:sz="6" w:space="0" w:color="000000"/>
              <w:bottom w:val="none" w:sz="6" w:space="0" w:color="000000"/>
              <w:left w:val="none" w:sz="6" w:space="0" w:color="000000"/>
              <w:right w:val="none" w:sz="6" w:space="0" w:color="000000"/>
            </w:tcBorders>
            <w:shd w:val="clear" w:color="auto" w:fill="FFFFFF"/>
            <w:vAlign w:val="center"/>
            <w:tcMar>
              <w:top w:w="72" w:type="dxa"/>
              <w:bottom w:w="72" w:type="dxa"/>
            </w:tcMar>
          </w:tcPr>
          <w:p>
            <w:pPr>
              <w:jc w:val="center"/>
              <w:spacing w:line="240" w:lineRule="auto" w:before="62" w:after="62"/>
            </w:pPr>
            <w:r>
              <w:rPr>
                <w:rFonts w:ascii="PingFang SC" w:hAnsi="PingFang SC" w:eastAsia="PingFang SC"/>
                <w:b w:val="0"/>
                <w:color w:val="6B7280"/>
                <w:sz w:val="18"/>
              </w:rPr>
              <w:t>依据《</w:t>
            </w:r>
            <w:r>
              <w:rPr>
                <w:rFonts w:ascii="PingFang SC" w:hAnsi="PingFang SC" w:eastAsia="PingFang SC"/>
                <w:b w:val="0"/>
                <w:color w:val="6B7280"/>
                <w:sz w:val="18"/>
              </w:rPr>
              <w:t xml:space="preserve"> </w:t>
            </w:r>
            <w:r>
              <w:rPr>
                <w:rFonts w:ascii="PingFang SC" w:hAnsi="PingFang SC" w:eastAsia="PingFang SC"/>
                <w:b w:val="0"/>
                <w:color w:val="6B7280"/>
                <w:sz w:val="18"/>
              </w:rPr>
              <w:t>2024</w:t>
            </w:r>
            <w:r>
              <w:rPr>
                <w:rFonts w:ascii="PingFang SC" w:hAnsi="PingFang SC" w:eastAsia="PingFang SC"/>
                <w:b w:val="0"/>
                <w:color w:val="6B7280"/>
                <w:sz w:val="18"/>
              </w:rPr>
              <w:t xml:space="preserve"> </w:t>
            </w:r>
            <w:r>
              <w:rPr>
                <w:rFonts w:ascii="PingFang SC" w:hAnsi="PingFang SC" w:eastAsia="PingFang SC"/>
                <w:b w:val="0"/>
                <w:color w:val="6B7280"/>
                <w:sz w:val="18"/>
              </w:rPr>
              <w:t>年天津市高级中等学校招生报考指南》整理</w:t>
            </w:r>
          </w:p>
        </w:tc>
      </w:tr>
      <w:tr>
        <w:tc>
          <w:tcPr>
            <w:tcW w:type="dxa" w:w="8640"/>
            <w:tcBorders>
              <w:top w:val="none" w:sz="6" w:space="0" w:color="000000"/>
              <w:bottom w:val="none" w:sz="6" w:space="0" w:color="000000"/>
              <w:left w:val="none" w:sz="6" w:space="0" w:color="000000"/>
              <w:right w:val="none" w:sz="6" w:space="0" w:color="000000"/>
            </w:tcBorders>
            <w:shd w:val="clear" w:color="auto" w:fill="FFFFFF"/>
            <w:vAlign w:val="center"/>
            <w:tcMar>
              <w:top w:w="72" w:type="dxa"/>
              <w:bottom w:w="72" w:type="dxa"/>
            </w:tcMar>
          </w:tcPr>
          <w:p>
            <w:pPr>
              <w:jc w:val="center"/>
              <w:spacing w:line="240" w:lineRule="auto" w:before="62" w:after="62"/>
            </w:pPr>
            <w:r>
              <w:rPr>
                <w:rFonts w:ascii="PingFang SC" w:hAnsi="PingFang SC" w:eastAsia="PingFang SC"/>
                <w:b w:val="0"/>
                <w:color w:val="6B7280"/>
                <w:sz w:val="18"/>
              </w:rPr>
              <w:t>天津市教育招生考试院</w:t>
            </w:r>
            <w:r>
              <w:rPr>
                <w:rFonts w:ascii="PingFang SC" w:hAnsi="PingFang SC" w:eastAsia="PingFang SC"/>
                <w:b w:val="0"/>
                <w:color w:val="6B7280"/>
                <w:sz w:val="18"/>
              </w:rPr>
              <w:t xml:space="preserve"> </w:t>
            </w:r>
            <w:r>
              <w:rPr>
                <w:rFonts w:ascii="PingFang SC" w:hAnsi="PingFang SC" w:eastAsia="PingFang SC"/>
                <w:b w:val="0"/>
                <w:color w:val="6B7280"/>
                <w:sz w:val="18"/>
              </w:rPr>
              <w:t xml:space="preserve"> · </w:t>
            </w:r>
            <w:r>
              <w:rPr>
                <w:rFonts w:ascii="PingFang SC" w:hAnsi="PingFang SC" w:eastAsia="PingFang SC"/>
                <w:b w:val="0"/>
                <w:color w:val="6B7280"/>
                <w:sz w:val="18"/>
              </w:rPr>
              <w:t xml:space="preserve"> </w:t>
            </w:r>
            <w:r>
              <w:rPr>
                <w:rFonts w:ascii="PingFang SC" w:hAnsi="PingFang SC" w:eastAsia="PingFang SC"/>
                <w:b w:val="0"/>
                <w:color w:val="6B7280"/>
                <w:sz w:val="18"/>
              </w:rPr>
              <w:t>招考资讯网</w:t>
            </w:r>
          </w:p>
        </w:tc>
      </w:tr>
    </w:tbl>
    <w:p>
      <w:r/>
    </w:p>
    <w:p>
      <w:pPr>
        <w:sectPr>
          <w:type w:val="nextPage"/>
          <w:pgSz w:w="11906" w:h="16838"/>
          <w:pgMar w:top="1440" w:bottom="1440" w:left="1797" w:right="1797"/>
        </w:sectPr>
      </w:pPr>
    </w:p>
    <w:p>
      <w:pPr>
        <w:spacing w:after="120"/>
      </w:pPr>
      <w:r/>
      <w:r>
        <w:rPr>
          <w:color w:val="111827"/>
        </w:rPr>
        <w:t>目录</w:t>
      </w:r>
    </w:p>
    <w:p>
      <w:hyperlink w:anchor="_Toc_section_1">
        <w:r>
          <w:rPr>
            <w:rFonts w:hint="eastAsia"/>
            <w:color w:val="000000"/>
            <w:u w:val="none"/>
          </w:rPr>
          <w:t xml:space="preserve">一、考试科目与分值</w:t>
        </w:r>
      </w:hyperlink>
    </w:p>
    <w:p>
      <w:hyperlink w:anchor="_Toc_section_2">
        <w:r>
          <w:rPr>
            <w:rFonts w:hint="eastAsia"/>
            <w:color w:val="000000"/>
            <w:u w:val="none"/>
          </w:rPr>
          <w:t xml:space="preserve">二、报名、毕业与报考资格</w:t>
        </w:r>
      </w:hyperlink>
    </w:p>
    <w:p>
      <w:hyperlink w:anchor="_Toc_section_3">
        <w:r>
          <w:rPr>
            <w:rFonts w:hint="eastAsia"/>
            <w:color w:val="000000"/>
            <w:u w:val="none"/>
          </w:rPr>
          <w:t xml:space="preserve">三、志愿填报</w:t>
        </w:r>
      </w:hyperlink>
    </w:p>
    <w:p>
      <w:hyperlink w:anchor="_Toc_section_4">
        <w:r>
          <w:rPr>
            <w:rFonts w:hint="eastAsia"/>
            <w:color w:val="000000"/>
            <w:u w:val="none"/>
          </w:rPr>
          <w:t xml:space="preserve">四、录取阶段与投档原则</w:t>
        </w:r>
      </w:hyperlink>
    </w:p>
    <w:p>
      <w:hyperlink w:anchor="_Toc_section_5">
        <w:r>
          <w:rPr>
            <w:rFonts w:hint="eastAsia"/>
            <w:color w:val="000000"/>
            <w:u w:val="none"/>
          </w:rPr>
          <w:t xml:space="preserve">五、政策照顾</w:t>
        </w:r>
      </w:hyperlink>
    </w:p>
    <w:p>
      <w:hyperlink w:anchor="_Toc_section_6">
        <w:r>
          <w:rPr>
            <w:rFonts w:hint="eastAsia"/>
            <w:color w:val="000000"/>
            <w:u w:val="none"/>
          </w:rPr>
          <w:t xml:space="preserve">六、指标生</w:t>
        </w:r>
      </w:hyperlink>
    </w:p>
    <w:p>
      <w:hyperlink w:anchor="_Toc_section_7">
        <w:r>
          <w:rPr>
            <w:rFonts w:hint="eastAsia"/>
            <w:color w:val="000000"/>
            <w:u w:val="none"/>
          </w:rPr>
          <w:t xml:space="preserve">七、特长生与实验班</w:t>
        </w:r>
      </w:hyperlink>
    </w:p>
    <w:p>
      <w:hyperlink w:anchor="_Toc_section_8">
        <w:r>
          <w:rPr>
            <w:rFonts w:hint="eastAsia"/>
            <w:color w:val="000000"/>
            <w:u w:val="none"/>
          </w:rPr>
          <w:t xml:space="preserve">八、中高职类学校说明</w:t>
        </w:r>
      </w:hyperlink>
    </w:p>
    <w:p>
      <w:hyperlink w:anchor="_Toc_section_9">
        <w:r>
          <w:rPr>
            <w:rFonts w:hint="eastAsia"/>
            <w:color w:val="000000"/>
            <w:u w:val="none"/>
          </w:rPr>
          <w:t xml:space="preserve">九、其他</w:t>
        </w:r>
      </w:hyperlink>
    </w:p>
    <w:p>
      <w:pPr>
        <w:spacing w:line="408" w:lineRule="auto" w:after="360"/>
        <w:pBdr>
          <w:left w:val="single" w:sz="18" w:space="0" w:color="2563EB"/>
        </w:pBdr>
        <w:shd w:val="clear" w:color="auto" w:fill="F3F4F6"/>
      </w:pPr>
      <w:r>
        <w:rPr>
          <w:rFonts w:ascii="PingFang SC" w:hAnsi="PingFang SC"/>
          <w:color w:val="6B7280"/>
          <w:sz w:val="18"/>
        </w:rPr>
        <w:t xml:space="preserve">  </w:t>
      </w:r>
      <w:r>
        <w:rPr>
          <w:rFonts w:ascii="微软雅黑" w:hAnsi="微软雅黑" w:eastAsia="微软雅黑" w:cs="微软雅黑" w:hint="eastAsia"/>
          <w:color w:val="6B7280"/>
          <w:sz w:val="18"/>
          <w:lang w:eastAsia="zh-CN"/>
        </w:rPr>
        <w:t>本文依据《</w:t>
      </w:r>
      <w:r>
        <w:rPr>
          <w:rFonts w:ascii="PingFang SC" w:hAnsi="PingFang SC"/>
          <w:color w:val="6B7280"/>
          <w:sz w:val="18"/>
        </w:rPr>
        <w:t>2024</w:t>
      </w:r>
      <w:r>
        <w:rPr>
          <w:rFonts w:ascii="微软雅黑" w:hAnsi="微软雅黑" w:eastAsia="微软雅黑" w:cs="微软雅黑" w:hint="eastAsia"/>
          <w:color w:val="6B7280"/>
          <w:sz w:val="18"/>
          <w:lang w:eastAsia="zh-CN"/>
        </w:rPr>
        <w:t>年天津市高级中等学校招生报考指南》（含《招生章程》《志愿填报和招生录取问答》及两种《志愿表》填报说明）整理，梳理天津市初中学业水平考试（中考）的考试、志愿填报与录取规则要点，供家长与考生快速了解整体框架。</w:t>
      </w:r>
    </w:p>
    <w:p>
      <w:bookmarkStart w:id="9" w:name="_Toc_section_1"/>
      <w:bookmarkStart w:id="0" w:name="section-1"/>
      <w:pPr>
        <w:pStyle w:val="Heading2"/>
        <w:spacing w:line="312" w:lineRule="auto"/>
      </w:pPr>
      <w:bookmarkEnd w:id="0"/>
      <w:r>
        <w:rPr>
          <w:rFonts w:ascii="微软雅黑" w:hAnsi="微软雅黑" w:eastAsia="微软雅黑" w:cs="微软雅黑" w:hint="eastAsia"/>
          <w:b w:val="0"/>
          <w:color w:val="111827"/>
          <w:sz w:val="30"/>
          <w:lang w:eastAsia="zh-CN"/>
        </w:rPr>
        <w:t>一、考试科目与分值</w:t>
      </w:r>
      <w:bookmarkEnd w:id="9"/>
    </w:p>
    <w:p>
      <w:pPr>
        <w:spacing w:line="408" w:lineRule="auto"/>
      </w:pPr>
      <w:r>
        <w:rPr>
          <w:rFonts w:ascii="微软雅黑" w:hAnsi="微软雅黑" w:eastAsia="微软雅黑" w:cs="微软雅黑" w:hint="eastAsia"/>
          <w:color w:val="111827"/>
          <w:sz w:val="22"/>
          <w:lang w:eastAsia="zh-CN"/>
        </w:rPr>
        <w:t>初中学业水平考试（简称</w:t>
      </w:r>
      <w:r>
        <w:rPr>
          <w:rFonts w:ascii="PingFang SC" w:hAnsi="PingFang SC"/>
          <w:color w:val="111827"/>
          <w:sz w:val="22"/>
        </w:rPr>
        <w:t>“</w:t>
      </w:r>
      <w:r>
        <w:rPr>
          <w:rFonts w:ascii="微软雅黑" w:hAnsi="微软雅黑" w:eastAsia="微软雅黑" w:cs="微软雅黑" w:hint="eastAsia"/>
          <w:color w:val="111827"/>
          <w:sz w:val="22"/>
          <w:lang w:eastAsia="zh-CN"/>
        </w:rPr>
        <w:t>学业水平考试</w:t>
      </w:r>
      <w:r>
        <w:rPr>
          <w:rFonts w:ascii="PingFang SC" w:hAnsi="PingFang SC"/>
          <w:color w:val="111827"/>
          <w:sz w:val="22"/>
        </w:rPr>
        <w:t>”</w:t>
      </w:r>
      <w:r>
        <w:rPr>
          <w:rFonts w:ascii="微软雅黑" w:hAnsi="微软雅黑" w:eastAsia="微软雅黑" w:cs="微软雅黑" w:hint="eastAsia"/>
          <w:color w:val="111827"/>
          <w:sz w:val="22"/>
          <w:lang w:eastAsia="zh-CN"/>
        </w:rPr>
        <w:t>）</w:t>
      </w:r>
      <w:r>
        <w:rPr>
          <w:rFonts w:ascii="微软雅黑" w:hAnsi="微软雅黑" w:eastAsia="微软雅黑" w:cs="微软雅黑" w:hint="eastAsia"/>
          <w:b/>
          <w:color w:val="111827"/>
          <w:sz w:val="22"/>
          <w:lang w:eastAsia="zh-CN"/>
        </w:rPr>
        <w:t>原始计分科目总分为 800 分</w:t>
      </w:r>
      <w:r>
        <w:rPr>
          <w:rFonts w:ascii="微软雅黑" w:hAnsi="微软雅黑" w:eastAsia="微软雅黑" w:cs="微软雅黑" w:hint="eastAsia"/>
          <w:color w:val="111827"/>
          <w:sz w:val="22"/>
          <w:lang w:eastAsia="zh-CN"/>
        </w:rPr>
        <w:t>，构成如下：</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192" w:type="dxa"/>
              <w:right w:w="192" w:type="dxa"/>
            </w:tcMar>
          </w:tcPr>
          <w:p>
            <w:pPr>
              <w:spacing w:line="240" w:lineRule="auto" w:before="77" w:after="77"/>
            </w:pPr>
            <w:r>
              <w:rPr>
                <w:rFonts w:ascii="PingFang SC" w:hAnsi="PingFang SC" w:eastAsia="PingFang SC"/>
                <w:b/>
                <w:color w:val="111827"/>
                <w:sz w:val="22"/>
              </w:rPr>
              <w:t>科目</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192" w:type="dxa"/>
              <w:right w:w="192" w:type="dxa"/>
            </w:tcMar>
          </w:tcPr>
          <w:p>
            <w:pPr>
              <w:spacing w:line="240" w:lineRule="auto" w:before="77" w:after="77"/>
            </w:pPr>
            <w:r>
              <w:rPr>
                <w:rFonts w:ascii="PingFang SC" w:hAnsi="PingFang SC" w:eastAsia="PingFang SC"/>
                <w:b/>
                <w:color w:val="111827"/>
                <w:sz w:val="22"/>
              </w:rPr>
              <w:t>分值</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192" w:type="dxa"/>
              <w:right w:w="192" w:type="dxa"/>
            </w:tcMar>
          </w:tcPr>
          <w:p>
            <w:pPr>
              <w:spacing w:line="240" w:lineRule="auto" w:before="77" w:after="77"/>
            </w:pPr>
            <w:r>
              <w:rPr>
                <w:rFonts w:ascii="PingFang SC" w:hAnsi="PingFang SC" w:eastAsia="PingFang SC"/>
                <w:b/>
                <w:color w:val="111827"/>
                <w:sz w:val="22"/>
              </w:rPr>
              <w:t>说明</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语文</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120</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闭卷笔试</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数学</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120</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闭卷笔试</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外语（含英语听力）</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120</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闭卷笔试</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化学</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100</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闭卷笔试，与物理合场考试</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物理</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100</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闭卷笔试，与化学合场考试</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道德与法治</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100</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开卷笔试，与历史合场考试</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历史</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100</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开卷笔试，与道德与法治合场考试</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体育与健康</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40</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平时成绩</w:t>
            </w:r>
            <w:r>
              <w:rPr>
                <w:rFonts w:ascii="PingFang SC" w:hAnsi="PingFang SC" w:eastAsia="PingFang SC"/>
                <w:color w:val="111827"/>
                <w:sz w:val="22"/>
              </w:rPr>
              <w:t xml:space="preserve"> </w:t>
            </w:r>
            <w:r>
              <w:rPr>
                <w:rFonts w:ascii="PingFang SC" w:hAnsi="PingFang SC" w:eastAsia="PingFang SC"/>
                <w:color w:val="111827"/>
                <w:sz w:val="22"/>
              </w:rPr>
              <w:t xml:space="preserve"> 18 </w:t>
            </w:r>
            <w:r>
              <w:rPr>
                <w:rFonts w:ascii="PingFang SC" w:hAnsi="PingFang SC" w:eastAsia="PingFang SC"/>
                <w:color w:val="111827"/>
                <w:sz w:val="22"/>
              </w:rPr>
              <w:t xml:space="preserve"> </w:t>
            </w:r>
            <w:r>
              <w:rPr>
                <w:rFonts w:ascii="PingFang SC" w:hAnsi="PingFang SC" w:eastAsia="PingFang SC"/>
                <w:color w:val="111827"/>
                <w:sz w:val="22"/>
              </w:rPr>
              <w:t>分</w:t>
            </w:r>
            <w:r>
              <w:rPr>
                <w:rFonts w:ascii="PingFang SC" w:hAnsi="PingFang SC" w:eastAsia="PingFang SC"/>
                <w:color w:val="111827"/>
                <w:sz w:val="22"/>
              </w:rPr>
              <w:t xml:space="preserve"> </w:t>
            </w:r>
            <w:r>
              <w:rPr>
                <w:rFonts w:ascii="PingFang SC" w:hAnsi="PingFang SC" w:eastAsia="PingFang SC"/>
                <w:color w:val="111827"/>
                <w:sz w:val="22"/>
              </w:rPr>
              <w:t xml:space="preserve"> + </w:t>
            </w:r>
            <w:r>
              <w:rPr>
                <w:rFonts w:ascii="PingFang SC" w:hAnsi="PingFang SC" w:eastAsia="PingFang SC"/>
                <w:color w:val="111827"/>
                <w:sz w:val="22"/>
              </w:rPr>
              <w:t xml:space="preserve"> </w:t>
            </w:r>
            <w:r>
              <w:rPr>
                <w:rFonts w:ascii="PingFang SC" w:hAnsi="PingFang SC" w:eastAsia="PingFang SC"/>
                <w:color w:val="111827"/>
                <w:sz w:val="22"/>
              </w:rPr>
              <w:t>统一测试</w:t>
            </w:r>
            <w:r>
              <w:rPr>
                <w:rFonts w:ascii="PingFang SC" w:hAnsi="PingFang SC" w:eastAsia="PingFang SC"/>
                <w:color w:val="111827"/>
                <w:sz w:val="22"/>
              </w:rPr>
              <w:t xml:space="preserve"> </w:t>
            </w:r>
            <w:r>
              <w:rPr>
                <w:rFonts w:ascii="PingFang SC" w:hAnsi="PingFang SC" w:eastAsia="PingFang SC"/>
                <w:color w:val="111827"/>
                <w:sz w:val="22"/>
              </w:rPr>
              <w:t xml:space="preserve"> 22 </w:t>
            </w:r>
            <w:r>
              <w:rPr>
                <w:rFonts w:ascii="PingFang SC" w:hAnsi="PingFang SC" w:eastAsia="PingFang SC"/>
                <w:color w:val="111827"/>
                <w:sz w:val="22"/>
              </w:rPr>
              <w:t xml:space="preserve"> </w:t>
            </w:r>
            <w:r>
              <w:rPr>
                <w:rFonts w:ascii="PingFang SC" w:hAnsi="PingFang SC" w:eastAsia="PingFang SC"/>
                <w:color w:val="111827"/>
                <w:sz w:val="22"/>
              </w:rPr>
              <w:t>分</w:t>
            </w:r>
          </w:p>
        </w:tc>
      </w:tr>
    </w:tbl>
    <w:p>
      <w:pPr>
        <w:spacing w:line="408" w:lineRule="auto"/>
      </w:pPr>
      <w:r>
        <w:rPr>
          <w:rFonts w:ascii="微软雅黑" w:hAnsi="微软雅黑" w:eastAsia="微软雅黑" w:cs="微软雅黑" w:hint="eastAsia"/>
          <w:b/>
          <w:color w:val="111827"/>
          <w:sz w:val="22"/>
          <w:lang w:eastAsia="zh-CN"/>
        </w:rPr>
        <w:t>等级计分科目</w:t>
      </w:r>
      <w:r>
        <w:rPr>
          <w:rFonts w:ascii="微软雅黑" w:hAnsi="微软雅黑" w:eastAsia="微软雅黑" w:cs="微软雅黑" w:hint="eastAsia"/>
          <w:color w:val="111827"/>
          <w:sz w:val="22"/>
          <w:lang w:eastAsia="zh-CN"/>
        </w:rPr>
        <w:t>共</w:t>
      </w:r>
      <w:r>
        <w:rPr>
          <w:rFonts w:ascii="PingFang SC" w:hAnsi="PingFang SC"/>
          <w:color w:val="111827"/>
          <w:sz w:val="22"/>
        </w:rPr>
        <w:t xml:space="preserve"> 8 </w:t>
      </w:r>
      <w:r>
        <w:rPr>
          <w:rFonts w:ascii="微软雅黑" w:hAnsi="微软雅黑" w:eastAsia="微软雅黑" w:cs="微软雅黑" w:hint="eastAsia"/>
          <w:color w:val="111827"/>
          <w:sz w:val="22"/>
          <w:lang w:eastAsia="zh-CN"/>
        </w:rPr>
        <w:t>科：地理、生物学、音乐、美术、综合实践活动、化学实验、物理实验、生物学实验。其中地理、生物学以</w:t>
      </w:r>
      <w:r>
        <w:rPr>
          <w:rFonts w:ascii="PingFang SC" w:hAnsi="PingFang SC"/>
          <w:color w:val="111827"/>
          <w:sz w:val="22"/>
        </w:rPr>
        <w:t>“</w:t>
      </w:r>
      <w:r>
        <w:rPr>
          <w:rFonts w:ascii="微软雅黑" w:hAnsi="微软雅黑" w:eastAsia="微软雅黑" w:cs="微软雅黑" w:hint="eastAsia"/>
          <w:color w:val="111827"/>
          <w:sz w:val="22"/>
          <w:lang w:eastAsia="zh-CN"/>
        </w:rPr>
        <w:t>优秀／良好／合格／不合格</w:t>
      </w:r>
      <w:r>
        <w:rPr>
          <w:rFonts w:ascii="PingFang SC" w:hAnsi="PingFang SC"/>
          <w:color w:val="111827"/>
          <w:sz w:val="22"/>
        </w:rPr>
        <w:t>”</w:t>
      </w:r>
      <w:r>
        <w:rPr>
          <w:rFonts w:ascii="微软雅黑" w:hAnsi="微软雅黑" w:eastAsia="微软雅黑" w:cs="微软雅黑" w:hint="eastAsia"/>
          <w:color w:val="111827"/>
          <w:sz w:val="22"/>
          <w:lang w:eastAsia="zh-CN"/>
        </w:rPr>
        <w:t>四个等级呈现，其余科目以</w:t>
      </w:r>
      <w:r>
        <w:rPr>
          <w:rFonts w:ascii="PingFang SC" w:hAnsi="PingFang SC"/>
          <w:color w:val="111827"/>
          <w:sz w:val="22"/>
        </w:rPr>
        <w:t>“</w:t>
      </w:r>
      <w:r>
        <w:rPr>
          <w:rFonts w:ascii="微软雅黑" w:hAnsi="微软雅黑" w:eastAsia="微软雅黑" w:cs="微软雅黑" w:hint="eastAsia"/>
          <w:color w:val="111827"/>
          <w:sz w:val="22"/>
          <w:lang w:eastAsia="zh-CN"/>
        </w:rPr>
        <w:t>合格／不合格</w:t>
      </w:r>
      <w:r>
        <w:rPr>
          <w:rFonts w:ascii="PingFang SC" w:hAnsi="PingFang SC"/>
          <w:color w:val="111827"/>
          <w:sz w:val="22"/>
        </w:rPr>
        <w:t>”</w:t>
      </w:r>
      <w:r>
        <w:rPr>
          <w:rFonts w:ascii="微软雅黑" w:hAnsi="微软雅黑" w:eastAsia="微软雅黑" w:cs="微软雅黑" w:hint="eastAsia"/>
          <w:color w:val="111827"/>
          <w:sz w:val="22"/>
          <w:lang w:eastAsia="zh-CN"/>
        </w:rPr>
        <w:t>两个等级呈现。</w:t>
      </w:r>
    </w:p>
    <w:p>
      <w:pPr>
        <w:spacing w:line="408" w:lineRule="auto"/>
      </w:pPr>
      <w:r>
        <w:rPr>
          <w:rFonts w:ascii="微软雅黑" w:hAnsi="微软雅黑" w:eastAsia="微软雅黑" w:cs="微软雅黑" w:hint="eastAsia"/>
          <w:b/>
          <w:color w:val="111827"/>
          <w:sz w:val="22"/>
          <w:lang w:eastAsia="zh-CN"/>
        </w:rPr>
        <w:t>成绩有效期</w:t>
      </w:r>
      <w:r>
        <w:rPr>
          <w:rFonts w:ascii="微软雅黑" w:hAnsi="微软雅黑" w:eastAsia="微软雅黑" w:cs="微软雅黑" w:hint="eastAsia"/>
          <w:color w:val="111827"/>
          <w:sz w:val="22"/>
          <w:lang w:eastAsia="zh-CN"/>
        </w:rPr>
        <w:t>：原始计分科目成绩仅限当次考试有效；等级计分科目成绩自取得之日起两年内有效。</w:t>
      </w:r>
    </w:p>
    <w:p>
      <w:pPr>
        <w:spacing w:line="408" w:lineRule="auto"/>
      </w:pPr>
      <w:r>
        <w:rPr>
          <w:rFonts w:ascii="微软雅黑" w:hAnsi="微软雅黑" w:eastAsia="微软雅黑" w:cs="微软雅黑" w:hint="eastAsia"/>
          <w:b/>
          <w:color w:val="111827"/>
          <w:sz w:val="22"/>
          <w:lang w:eastAsia="zh-CN"/>
        </w:rPr>
        <w:t>考试方式</w:t>
      </w:r>
      <w:r>
        <w:rPr>
          <w:rFonts w:ascii="微软雅黑" w:hAnsi="微软雅黑" w:eastAsia="微软雅黑" w:cs="微软雅黑" w:hint="eastAsia"/>
          <w:color w:val="111827"/>
          <w:sz w:val="22"/>
          <w:lang w:eastAsia="zh-CN"/>
        </w:rPr>
        <w:t>：语文、数学、外语、化学、物理、地理、生物学为闭卷笔试；道德与法治、历史为开卷笔试；化学与物理、道德与法治与历史、地理与生物学实行合场考试。综合实践活动、音乐、美术及化学、物理、生物学三科实验操作，采用过程性评价与终结性评价相结合、书面笔试与技能考试相结合的方式，由各区统一组织、各中学具体实施。</w:t>
      </w:r>
    </w:p>
    <w:p>
      <w:bookmarkStart w:id="10" w:name="_Toc_section_2"/>
      <w:bookmarkStart w:id="1" w:name="section-2"/>
      <w:pPr>
        <w:pStyle w:val="Heading2"/>
        <w:spacing w:line="312" w:lineRule="auto"/>
      </w:pPr>
      <w:bookmarkEnd w:id="1"/>
      <w:r>
        <w:rPr>
          <w:rFonts w:ascii="微软雅黑" w:hAnsi="微软雅黑" w:eastAsia="微软雅黑" w:cs="微软雅黑" w:hint="eastAsia"/>
          <w:b w:val="0"/>
          <w:color w:val="111827"/>
          <w:sz w:val="30"/>
          <w:lang w:eastAsia="zh-CN"/>
        </w:rPr>
        <w:t>二、报名、毕业与报考资格</w:t>
      </w:r>
      <w:bookmarkEnd w:id="10"/>
    </w:p>
    <w:p>
      <w:pPr>
        <w:pStyle w:val="ListNumber"/>
        <w:numPr>
          <w:ilvl w:val="0"/>
          <w:numId w:val="10"/>
        </w:numPr>
        <w:spacing w:line="408" w:lineRule="auto" w:after="66"/>
      </w:pPr>
      <w:r>
        <w:rPr>
          <w:rFonts w:ascii="微软雅黑" w:hAnsi="微软雅黑" w:eastAsia="微软雅黑" w:cs="微软雅黑" w:hint="eastAsia"/>
          <w:color w:val="111827"/>
          <w:sz w:val="22"/>
          <w:lang w:eastAsia="zh-CN"/>
        </w:rPr>
        <w:t>报名按市招委当年《天津市高级中等学校招生报名工作规定》执行；体检按市中招办、市卫生健康委当年通知执行。</w:t>
      </w:r>
    </w:p>
    <w:p>
      <w:pPr>
        <w:pStyle w:val="ListNumber"/>
        <w:numPr>
          <w:ilvl w:val="0"/>
          <w:numId w:val="10"/>
        </w:numPr>
        <w:spacing w:line="408" w:lineRule="auto" w:after="66"/>
      </w:pPr>
      <w:r>
        <w:rPr>
          <w:rFonts w:ascii="微软雅黑" w:hAnsi="微软雅黑" w:eastAsia="微软雅黑" w:cs="微软雅黑" w:hint="eastAsia"/>
          <w:color w:val="111827"/>
          <w:sz w:val="22"/>
          <w:lang w:eastAsia="zh-CN"/>
        </w:rPr>
        <w:t>考生所在初中学校须全面记录考生的思想品德、学业水平、身心健康、艺术素养、社会实践等方面情况，形成综合素质档案。</w:t>
      </w:r>
    </w:p>
    <w:p>
      <w:pPr>
        <w:pStyle w:val="ListNumber"/>
        <w:numPr>
          <w:ilvl w:val="0"/>
          <w:numId w:val="10"/>
        </w:numPr>
        <w:spacing w:line="408" w:lineRule="auto" w:after="66"/>
      </w:pPr>
      <w:r>
        <w:rPr>
          <w:rFonts w:ascii="微软雅黑" w:hAnsi="微软雅黑" w:eastAsia="微软雅黑" w:cs="微软雅黑" w:hint="eastAsia"/>
          <w:color w:val="111827"/>
          <w:sz w:val="22"/>
          <w:lang w:eastAsia="zh-CN"/>
        </w:rPr>
        <w:t>学业水平考试成绩合格、综合素质评价合格者准予毕业，由区级教育行政部门授予初中毕业证书。</w:t>
      </w:r>
    </w:p>
    <w:p>
      <w:pPr>
        <w:pStyle w:val="ListNumber"/>
        <w:numPr>
          <w:ilvl w:val="0"/>
          <w:numId w:val="10"/>
        </w:numPr>
        <w:spacing w:line="408" w:lineRule="auto" w:after="66"/>
      </w:pPr>
      <w:r>
        <w:rPr>
          <w:rFonts w:ascii="微软雅黑" w:hAnsi="微软雅黑" w:eastAsia="微软雅黑" w:cs="微软雅黑" w:hint="eastAsia"/>
          <w:color w:val="111827"/>
          <w:sz w:val="22"/>
          <w:lang w:eastAsia="zh-CN"/>
        </w:rPr>
        <w:t>参加学业水平考试并取得初中毕业资格的考生，方可参加各类高级中等学校招生录取。</w:t>
      </w:r>
    </w:p>
    <w:p>
      <w:pPr>
        <w:pStyle w:val="ListNumber"/>
        <w:numPr>
          <w:ilvl w:val="0"/>
          <w:numId w:val="10"/>
        </w:numPr>
        <w:spacing w:line="408" w:lineRule="auto" w:after="66"/>
      </w:pPr>
      <w:r>
        <w:rPr>
          <w:rFonts w:ascii="微软雅黑" w:hAnsi="微软雅黑" w:eastAsia="微软雅黑" w:cs="微软雅黑" w:hint="eastAsia"/>
          <w:b/>
          <w:color w:val="111827"/>
          <w:sz w:val="22"/>
          <w:lang w:eastAsia="zh-CN"/>
        </w:rPr>
        <w:t>户籍要求</w:t>
      </w:r>
      <w:r>
        <w:rPr>
          <w:rFonts w:ascii="微软雅黑" w:hAnsi="微软雅黑" w:eastAsia="微软雅黑" w:cs="微软雅黑" w:hint="eastAsia"/>
          <w:color w:val="111827"/>
          <w:sz w:val="22"/>
          <w:lang w:eastAsia="zh-CN"/>
        </w:rPr>
        <w:t>：不具有本市常住户口和蓝印户口的考生，不得填报普通高中学校志愿和中职学校综合高中班志愿，可填报其他中高职类学校志愿。</w:t>
      </w:r>
    </w:p>
    <w:p>
      <w:bookmarkStart w:id="11" w:name="_Toc_section_3"/>
      <w:bookmarkStart w:id="2" w:name="section-3"/>
      <w:pPr>
        <w:pStyle w:val="Heading2"/>
        <w:spacing w:line="312" w:lineRule="auto"/>
      </w:pPr>
      <w:bookmarkEnd w:id="2"/>
      <w:r>
        <w:rPr>
          <w:rFonts w:ascii="微软雅黑" w:hAnsi="微软雅黑" w:eastAsia="微软雅黑" w:cs="微软雅黑" w:hint="eastAsia"/>
          <w:b w:val="0"/>
          <w:color w:val="111827"/>
          <w:sz w:val="30"/>
          <w:lang w:eastAsia="zh-CN"/>
        </w:rPr>
        <w:t>三、志愿填报</w:t>
      </w:r>
      <w:bookmarkEnd w:id="11"/>
    </w:p>
    <w:p>
      <w:pPr>
        <w:pStyle w:val="ListNumber"/>
        <w:numPr>
          <w:ilvl w:val="0"/>
          <w:numId w:val="11"/>
        </w:numPr>
        <w:spacing w:line="408" w:lineRule="auto" w:after="66"/>
      </w:pPr>
      <w:r>
        <w:rPr>
          <w:rFonts w:ascii="微软雅黑" w:hAnsi="微软雅黑" w:eastAsia="微软雅黑" w:cs="微软雅黑" w:hint="eastAsia"/>
          <w:b/>
          <w:color w:val="111827"/>
          <w:sz w:val="22"/>
          <w:lang w:eastAsia="zh-CN"/>
        </w:rPr>
        <w:t>填报时间</w:t>
      </w:r>
      <w:r>
        <w:rPr>
          <w:rFonts w:ascii="微软雅黑" w:hAnsi="微软雅黑" w:eastAsia="微软雅黑" w:cs="微软雅黑" w:hint="eastAsia"/>
          <w:color w:val="111827"/>
          <w:sz w:val="22"/>
          <w:lang w:eastAsia="zh-CN"/>
        </w:rPr>
        <w:t>：志愿填报在学业水平考试成绩下发后进行（</w:t>
      </w:r>
      <w:r>
        <w:rPr>
          <w:rFonts w:ascii="PingFang SC" w:hAnsi="PingFang SC"/>
          <w:color w:val="111827"/>
          <w:sz w:val="22"/>
        </w:rPr>
        <w:t xml:space="preserve">2024 </w:t>
      </w:r>
      <w:r>
        <w:rPr>
          <w:rFonts w:ascii="微软雅黑" w:hAnsi="微软雅黑" w:eastAsia="微软雅黑" w:cs="微软雅黑" w:hint="eastAsia"/>
          <w:color w:val="111827"/>
          <w:sz w:val="22"/>
          <w:lang w:eastAsia="zh-CN"/>
        </w:rPr>
        <w:t>年为</w:t>
      </w:r>
      <w:r>
        <w:rPr>
          <w:rFonts w:ascii="PingFang SC" w:hAnsi="PingFang SC"/>
          <w:color w:val="111827"/>
          <w:sz w:val="22"/>
        </w:rPr>
        <w:t xml:space="preserve"> 7 </w:t>
      </w:r>
      <w:r>
        <w:rPr>
          <w:rFonts w:ascii="微软雅黑" w:hAnsi="微软雅黑" w:eastAsia="微软雅黑" w:cs="微软雅黑" w:hint="eastAsia"/>
          <w:color w:val="111827"/>
          <w:sz w:val="22"/>
          <w:lang w:eastAsia="zh-CN"/>
        </w:rPr>
        <w:t>月</w:t>
      </w:r>
      <w:r>
        <w:rPr>
          <w:rFonts w:ascii="PingFang SC" w:hAnsi="PingFang SC"/>
          <w:color w:val="111827"/>
          <w:sz w:val="22"/>
        </w:rPr>
        <w:t xml:space="preserve"> 11 </w:t>
      </w:r>
      <w:r>
        <w:rPr>
          <w:rFonts w:ascii="微软雅黑" w:hAnsi="微软雅黑" w:eastAsia="微软雅黑" w:cs="微软雅黑" w:hint="eastAsia"/>
          <w:color w:val="111827"/>
          <w:sz w:val="22"/>
          <w:lang w:eastAsia="zh-CN"/>
        </w:rPr>
        <w:t>日至</w:t>
      </w:r>
      <w:r>
        <w:rPr>
          <w:rFonts w:ascii="PingFang SC" w:hAnsi="PingFang SC"/>
          <w:color w:val="111827"/>
          <w:sz w:val="22"/>
        </w:rPr>
        <w:t xml:space="preserve"> 7 </w:t>
      </w:r>
      <w:r>
        <w:rPr>
          <w:rFonts w:ascii="微软雅黑" w:hAnsi="微软雅黑" w:eastAsia="微软雅黑" w:cs="微软雅黑" w:hint="eastAsia"/>
          <w:color w:val="111827"/>
          <w:sz w:val="22"/>
          <w:lang w:eastAsia="zh-CN"/>
        </w:rPr>
        <w:t>月</w:t>
      </w:r>
      <w:r>
        <w:rPr>
          <w:rFonts w:ascii="PingFang SC" w:hAnsi="PingFang SC"/>
          <w:color w:val="111827"/>
          <w:sz w:val="22"/>
        </w:rPr>
        <w:t xml:space="preserve"> 16 </w:t>
      </w:r>
      <w:r>
        <w:rPr>
          <w:rFonts w:ascii="微软雅黑" w:hAnsi="微软雅黑" w:eastAsia="微软雅黑" w:cs="微软雅黑" w:hint="eastAsia"/>
          <w:color w:val="111827"/>
          <w:sz w:val="22"/>
          <w:lang w:eastAsia="zh-CN"/>
        </w:rPr>
        <w:t>日中午</w:t>
      </w:r>
      <w:r>
        <w:rPr>
          <w:rFonts w:ascii="PingFang SC" w:hAnsi="PingFang SC"/>
          <w:color w:val="111827"/>
          <w:sz w:val="22"/>
        </w:rPr>
        <w:t xml:space="preserve"> 12 </w:t>
      </w:r>
      <w:r>
        <w:rPr>
          <w:rFonts w:ascii="微软雅黑" w:hAnsi="微软雅黑" w:eastAsia="微软雅黑" w:cs="微软雅黑" w:hint="eastAsia"/>
          <w:color w:val="111827"/>
          <w:sz w:val="22"/>
          <w:lang w:eastAsia="zh-CN"/>
        </w:rPr>
        <w:t>时），逾期不再补报。</w:t>
      </w:r>
    </w:p>
    <w:p>
      <w:pPr>
        <w:pStyle w:val="ListNumber"/>
        <w:numPr>
          <w:ilvl w:val="0"/>
          <w:numId w:val="11"/>
        </w:numPr>
        <w:spacing w:line="408" w:lineRule="auto" w:after="66"/>
      </w:pPr>
      <w:r>
        <w:rPr>
          <w:rFonts w:ascii="微软雅黑" w:hAnsi="微软雅黑" w:eastAsia="微软雅黑" w:cs="微软雅黑" w:hint="eastAsia"/>
          <w:b/>
          <w:color w:val="111827"/>
          <w:sz w:val="22"/>
          <w:lang w:eastAsia="zh-CN"/>
        </w:rPr>
        <w:t>填报依据</w:t>
      </w:r>
      <w:r>
        <w:rPr>
          <w:rFonts w:ascii="微软雅黑" w:hAnsi="微软雅黑" w:eastAsia="微软雅黑" w:cs="微软雅黑" w:hint="eastAsia"/>
          <w:color w:val="111827"/>
          <w:sz w:val="22"/>
          <w:lang w:eastAsia="zh-CN"/>
        </w:rPr>
        <w:t>：市中招办汇总并公布的本年度《高中阶段教育学校本市生源招生计划》。未经公布的招生学校和计划，一律不安排在津招生。</w:t>
      </w:r>
    </w:p>
    <w:p>
      <w:pPr>
        <w:pStyle w:val="ListNumber"/>
        <w:numPr>
          <w:ilvl w:val="0"/>
          <w:numId w:val="11"/>
        </w:numPr>
        <w:spacing w:line="408" w:lineRule="auto" w:after="66"/>
      </w:pPr>
      <w:r>
        <w:rPr>
          <w:rFonts w:ascii="微软雅黑" w:hAnsi="微软雅黑" w:eastAsia="微软雅黑" w:cs="微软雅黑" w:hint="eastAsia"/>
          <w:b/>
          <w:color w:val="111827"/>
          <w:sz w:val="22"/>
          <w:lang w:eastAsia="zh-CN"/>
        </w:rPr>
        <w:t>志愿表类型</w:t>
      </w:r>
      <w:r>
        <w:rPr>
          <w:rFonts w:ascii="微软雅黑" w:hAnsi="微软雅黑" w:eastAsia="微软雅黑" w:cs="微软雅黑" w:hint="eastAsia"/>
          <w:color w:val="111827"/>
          <w:sz w:val="22"/>
          <w:lang w:eastAsia="zh-CN"/>
        </w:rPr>
        <w:t>：《天津市高级中等学校招生志愿表》分为</w:t>
      </w:r>
      <w:r>
        <w:rPr>
          <w:rFonts w:ascii="PingFang SC" w:hAnsi="PingFang SC"/>
          <w:color w:val="111827"/>
          <w:sz w:val="22"/>
        </w:rPr>
        <w:t>“</w:t>
      </w:r>
      <w:r>
        <w:rPr>
          <w:rFonts w:ascii="微软雅黑" w:hAnsi="微软雅黑" w:eastAsia="微软雅黑" w:cs="微软雅黑" w:hint="eastAsia"/>
          <w:b/>
          <w:color w:val="111827"/>
          <w:sz w:val="22"/>
          <w:lang w:eastAsia="zh-CN"/>
        </w:rPr>
        <w:t>市内六区考生使用</w:t>
      </w:r>
      <w:r>
        <w:rPr>
          <w:rFonts w:ascii="PingFang SC" w:hAnsi="PingFang SC"/>
          <w:color w:val="111827"/>
          <w:sz w:val="22"/>
        </w:rPr>
        <w:t>”</w:t>
      </w:r>
      <w:r>
        <w:rPr>
          <w:rFonts w:ascii="微软雅黑" w:hAnsi="微软雅黑" w:eastAsia="微软雅黑" w:cs="微软雅黑" w:hint="eastAsia"/>
          <w:color w:val="111827"/>
          <w:sz w:val="22"/>
          <w:lang w:eastAsia="zh-CN"/>
        </w:rPr>
        <w:t>和</w:t>
      </w:r>
      <w:r>
        <w:rPr>
          <w:rFonts w:ascii="PingFang SC" w:hAnsi="PingFang SC"/>
          <w:color w:val="111827"/>
          <w:sz w:val="22"/>
        </w:rPr>
        <w:t>“</w:t>
      </w:r>
      <w:r>
        <w:rPr>
          <w:rFonts w:ascii="微软雅黑" w:hAnsi="微软雅黑" w:eastAsia="微软雅黑" w:cs="微软雅黑" w:hint="eastAsia"/>
          <w:b/>
          <w:color w:val="111827"/>
          <w:sz w:val="22"/>
          <w:lang w:eastAsia="zh-CN"/>
        </w:rPr>
        <w:t>市内六区以外区考生使用</w:t>
      </w:r>
      <w:r>
        <w:rPr>
          <w:rFonts w:ascii="PingFang SC" w:hAnsi="PingFang SC"/>
          <w:color w:val="111827"/>
          <w:sz w:val="22"/>
        </w:rPr>
        <w:t>”</w:t>
      </w:r>
      <w:r>
        <w:rPr>
          <w:rFonts w:ascii="微软雅黑" w:hAnsi="微软雅黑" w:eastAsia="微软雅黑" w:cs="微软雅黑" w:hint="eastAsia"/>
          <w:color w:val="111827"/>
          <w:sz w:val="22"/>
          <w:lang w:eastAsia="zh-CN"/>
        </w:rPr>
        <w:t>两种，考生须选择相应版本填写。各批次录取均依据志愿表批次顺序进行。</w:t>
      </w:r>
    </w:p>
    <w:p>
      <w:pPr>
        <w:pStyle w:val="ListNumber"/>
        <w:numPr>
          <w:ilvl w:val="0"/>
          <w:numId w:val="11"/>
        </w:numPr>
        <w:spacing w:line="408" w:lineRule="auto" w:after="66"/>
      </w:pPr>
      <w:r>
        <w:rPr>
          <w:rFonts w:ascii="微软雅黑" w:hAnsi="微软雅黑" w:eastAsia="微软雅黑" w:cs="微软雅黑" w:hint="eastAsia"/>
          <w:b/>
          <w:color w:val="111827"/>
          <w:sz w:val="22"/>
          <w:lang w:eastAsia="zh-CN"/>
        </w:rPr>
        <w:t>填报原则</w:t>
      </w:r>
      <w:r>
        <w:rPr>
          <w:rFonts w:ascii="微软雅黑" w:hAnsi="微软雅黑" w:eastAsia="微软雅黑" w:cs="微软雅黑" w:hint="eastAsia"/>
          <w:color w:val="111827"/>
          <w:sz w:val="22"/>
          <w:lang w:eastAsia="zh-CN"/>
        </w:rPr>
        <w:t>：考生应结合自身升学成绩、身体条件、家庭经济状况及学校类别、办学特色、收费标准、住宿条件、交通情况等自主选择；不愿就读的学校不要填报，一旦被录取不予退档。</w:t>
      </w:r>
    </w:p>
    <w:p>
      <w:pPr>
        <w:pStyle w:val="Heading3"/>
        <w:spacing w:line="312" w:lineRule="auto"/>
      </w:pPr>
      <w:r>
        <w:rPr>
          <w:rFonts w:ascii="微软雅黑" w:hAnsi="微软雅黑" w:eastAsia="微软雅黑" w:cs="微软雅黑" w:hint="eastAsia"/>
          <w:b w:val="0"/>
          <w:color w:val="111827"/>
          <w:sz w:val="26"/>
          <w:lang w:eastAsia="zh-CN"/>
        </w:rPr>
        <w:t>（一）两种志愿表的批次与志愿栏</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192" w:type="dxa"/>
              <w:right w:w="192" w:type="dxa"/>
            </w:tcMar>
          </w:tcPr>
          <w:p>
            <w:pPr>
              <w:spacing w:line="240" w:lineRule="auto" w:before="77" w:after="77"/>
            </w:pPr>
            <w:r>
              <w:rPr>
                <w:rFonts w:ascii="PingFang SC" w:hAnsi="PingFang SC" w:eastAsia="PingFang SC"/>
                <w:b/>
                <w:color w:val="111827"/>
                <w:sz w:val="22"/>
              </w:rPr>
              <w:t>批次</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192" w:type="dxa"/>
              <w:right w:w="192" w:type="dxa"/>
            </w:tcMar>
          </w:tcPr>
          <w:p>
            <w:pPr>
              <w:spacing w:line="240" w:lineRule="auto" w:before="77" w:after="77"/>
            </w:pPr>
            <w:r>
              <w:rPr>
                <w:rFonts w:ascii="PingFang SC" w:hAnsi="PingFang SC" w:eastAsia="PingFang SC"/>
                <w:b/>
                <w:color w:val="111827"/>
                <w:sz w:val="22"/>
              </w:rPr>
              <w:t>市内六区考生</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192" w:type="dxa"/>
              <w:right w:w="192" w:type="dxa"/>
            </w:tcMar>
          </w:tcPr>
          <w:p>
            <w:pPr>
              <w:spacing w:line="240" w:lineRule="auto" w:before="77" w:after="77"/>
            </w:pPr>
            <w:r>
              <w:rPr>
                <w:rFonts w:ascii="PingFang SC" w:hAnsi="PingFang SC" w:eastAsia="PingFang SC"/>
                <w:b/>
                <w:color w:val="111827"/>
                <w:sz w:val="22"/>
              </w:rPr>
              <w:t>市内六区以外区考生</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艺术类高中</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 xml:space="preserve">1 </w:t>
            </w:r>
            <w:r>
              <w:rPr>
                <w:rFonts w:ascii="PingFang SC" w:hAnsi="PingFang SC" w:eastAsia="PingFang SC"/>
                <w:color w:val="111827"/>
                <w:sz w:val="22"/>
              </w:rPr>
              <w:t xml:space="preserve"> </w:t>
            </w:r>
            <w:r>
              <w:rPr>
                <w:rFonts w:ascii="PingFang SC" w:hAnsi="PingFang SC" w:eastAsia="PingFang SC"/>
                <w:color w:val="111827"/>
                <w:sz w:val="22"/>
              </w:rPr>
              <w:t>个学校志愿栏</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 xml:space="preserve">1 </w:t>
            </w:r>
            <w:r>
              <w:rPr>
                <w:rFonts w:ascii="PingFang SC" w:hAnsi="PingFang SC" w:eastAsia="PingFang SC"/>
                <w:color w:val="111827"/>
                <w:sz w:val="22"/>
              </w:rPr>
              <w:t xml:space="preserve"> </w:t>
            </w:r>
            <w:r>
              <w:rPr>
                <w:rFonts w:ascii="PingFang SC" w:hAnsi="PingFang SC" w:eastAsia="PingFang SC"/>
                <w:color w:val="111827"/>
                <w:sz w:val="22"/>
              </w:rPr>
              <w:t>个学校志愿栏</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第二批次</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 xml:space="preserve">“9 </w:t>
            </w:r>
            <w:r>
              <w:rPr>
                <w:rFonts w:ascii="PingFang SC" w:hAnsi="PingFang SC" w:eastAsia="PingFang SC"/>
                <w:color w:val="111827"/>
                <w:sz w:val="22"/>
              </w:rPr>
              <w:t xml:space="preserve"> </w:t>
            </w:r>
            <w:r>
              <w:rPr>
                <w:rFonts w:ascii="PingFang SC" w:hAnsi="PingFang SC" w:eastAsia="PingFang SC"/>
                <w:color w:val="111827"/>
                <w:sz w:val="22"/>
              </w:rPr>
              <w:t>所市重点高中</w:t>
            </w:r>
            <w:r>
              <w:rPr>
                <w:rFonts w:ascii="PingFang SC" w:hAnsi="PingFang SC" w:eastAsia="PingFang SC"/>
                <w:color w:val="111827"/>
                <w:sz w:val="22"/>
              </w:rPr>
              <w:t xml:space="preserve"> </w:t>
            </w:r>
            <w:r>
              <w:rPr>
                <w:rFonts w:ascii="PingFang SC" w:hAnsi="PingFang SC" w:eastAsia="PingFang SC"/>
                <w:color w:val="111827"/>
                <w:sz w:val="22"/>
              </w:rPr>
              <w:t>”</w:t>
            </w:r>
            <w:r>
              <w:rPr>
                <w:rFonts w:ascii="PingFang SC" w:hAnsi="PingFang SC" w:eastAsia="PingFang SC"/>
                <w:color w:val="111827"/>
                <w:sz w:val="22"/>
              </w:rPr>
              <w:t xml:space="preserve"> </w:t>
            </w:r>
            <w:r>
              <w:rPr>
                <w:rFonts w:ascii="PingFang SC" w:hAnsi="PingFang SC" w:eastAsia="PingFang SC"/>
                <w:color w:val="111827"/>
                <w:sz w:val="22"/>
              </w:rPr>
              <w:t>批次，</w:t>
            </w:r>
            <w:r>
              <w:rPr>
                <w:rFonts w:ascii="PingFang SC" w:hAnsi="PingFang SC" w:eastAsia="PingFang SC"/>
                <w:color w:val="111827"/>
                <w:sz w:val="22"/>
              </w:rPr>
              <w:t xml:space="preserve"> </w:t>
            </w:r>
            <w:r>
              <w:rPr>
                <w:rFonts w:ascii="PingFang SC" w:hAnsi="PingFang SC" w:eastAsia="PingFang SC"/>
                <w:b/>
                <w:color w:val="111827"/>
                <w:sz w:val="22"/>
              </w:rPr>
              <w:t>2 个志愿栏</w:t>
            </w:r>
            <w:r>
              <w:rPr>
                <w:rFonts w:ascii="PingFang SC" w:hAnsi="PingFang SC" w:eastAsia="PingFang SC"/>
                <w:color w:val="111827"/>
                <w:sz w:val="22"/>
              </w:rPr>
              <w:t xml:space="preserve"> </w:t>
            </w:r>
            <w:r>
              <w:rPr>
                <w:rFonts w:ascii="PingFang SC" w:hAnsi="PingFang SC" w:eastAsia="PingFang SC"/>
                <w:color w:val="111827"/>
                <w:sz w:val="22"/>
              </w:rPr>
              <w:t>（南开中学、天津一中、耀华中学、新华中学、实验中学、天津二中、天津三中、天津七中、天津中学</w:t>
            </w:r>
            <w:r>
              <w:rPr>
                <w:rFonts w:ascii="PingFang SC" w:hAnsi="PingFang SC" w:eastAsia="PingFang SC"/>
                <w:color w:val="111827"/>
                <w:sz w:val="22"/>
              </w:rPr>
              <w:t xml:space="preserve"> </w:t>
            </w:r>
            <w:r>
              <w:rPr>
                <w:rFonts w:ascii="PingFang SC" w:hAnsi="PingFang SC" w:eastAsia="PingFang SC"/>
                <w:color w:val="111827"/>
                <w:sz w:val="22"/>
              </w:rPr>
              <w:t xml:space="preserve"> 9 </w:t>
            </w:r>
            <w:r>
              <w:rPr>
                <w:rFonts w:ascii="PingFang SC" w:hAnsi="PingFang SC" w:eastAsia="PingFang SC"/>
                <w:color w:val="111827"/>
                <w:sz w:val="22"/>
              </w:rPr>
              <w:t xml:space="preserve"> </w:t>
            </w:r>
            <w:r>
              <w:rPr>
                <w:rFonts w:ascii="PingFang SC" w:hAnsi="PingFang SC" w:eastAsia="PingFang SC"/>
                <w:color w:val="111827"/>
                <w:sz w:val="22"/>
              </w:rPr>
              <w:t>校及实验中学王克昌班中选</w:t>
            </w:r>
            <w:r>
              <w:rPr>
                <w:rFonts w:ascii="PingFang SC" w:hAnsi="PingFang SC" w:eastAsia="PingFang SC"/>
                <w:color w:val="111827"/>
                <w:sz w:val="22"/>
              </w:rPr>
              <w:t xml:space="preserve"> </w:t>
            </w:r>
            <w:r>
              <w:rPr>
                <w:rFonts w:ascii="PingFang SC" w:hAnsi="PingFang SC" w:eastAsia="PingFang SC"/>
                <w:color w:val="111827"/>
                <w:sz w:val="22"/>
              </w:rPr>
              <w:t xml:space="preserve"> 2 </w:t>
            </w:r>
            <w:r>
              <w:rPr>
                <w:rFonts w:ascii="PingFang SC" w:hAnsi="PingFang SC" w:eastAsia="PingFang SC"/>
                <w:color w:val="111827"/>
                <w:sz w:val="22"/>
              </w:rPr>
              <w:t xml:space="preserve"> </w:t>
            </w:r>
            <w:r>
              <w:rPr>
                <w:rFonts w:ascii="PingFang SC" w:hAnsi="PingFang SC" w:eastAsia="PingFang SC"/>
                <w:color w:val="111827"/>
                <w:sz w:val="22"/>
              </w:rPr>
              <w:t>个）</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w:t>
            </w:r>
            <w:r>
              <w:rPr>
                <w:rFonts w:ascii="PingFang SC" w:hAnsi="PingFang SC" w:eastAsia="PingFang SC"/>
                <w:color w:val="111827"/>
                <w:sz w:val="22"/>
              </w:rPr>
              <w:t xml:space="preserve"> </w:t>
            </w:r>
            <w:r>
              <w:rPr>
                <w:rFonts w:ascii="PingFang SC" w:hAnsi="PingFang SC" w:eastAsia="PingFang SC"/>
                <w:color w:val="111827"/>
                <w:sz w:val="22"/>
              </w:rPr>
              <w:t>市教委直属重点高中</w:t>
            </w:r>
            <w:r>
              <w:rPr>
                <w:rFonts w:ascii="PingFang SC" w:hAnsi="PingFang SC" w:eastAsia="PingFang SC"/>
                <w:color w:val="111827"/>
                <w:sz w:val="22"/>
              </w:rPr>
              <w:t xml:space="preserve"> </w:t>
            </w:r>
            <w:r>
              <w:rPr>
                <w:rFonts w:ascii="PingFang SC" w:hAnsi="PingFang SC" w:eastAsia="PingFang SC"/>
                <w:color w:val="111827"/>
                <w:sz w:val="22"/>
              </w:rPr>
              <w:t>”</w:t>
            </w:r>
            <w:r>
              <w:rPr>
                <w:rFonts w:ascii="PingFang SC" w:hAnsi="PingFang SC" w:eastAsia="PingFang SC"/>
                <w:color w:val="111827"/>
                <w:sz w:val="22"/>
              </w:rPr>
              <w:t xml:space="preserve"> </w:t>
            </w:r>
            <w:r>
              <w:rPr>
                <w:rFonts w:ascii="PingFang SC" w:hAnsi="PingFang SC" w:eastAsia="PingFang SC"/>
                <w:color w:val="111827"/>
                <w:sz w:val="22"/>
              </w:rPr>
              <w:t>批次，</w:t>
            </w:r>
            <w:r>
              <w:rPr>
                <w:rFonts w:ascii="PingFang SC" w:hAnsi="PingFang SC" w:eastAsia="PingFang SC"/>
                <w:color w:val="111827"/>
                <w:sz w:val="22"/>
              </w:rPr>
              <w:t xml:space="preserve"> </w:t>
            </w:r>
            <w:r>
              <w:rPr>
                <w:rFonts w:ascii="PingFang SC" w:hAnsi="PingFang SC" w:eastAsia="PingFang SC"/>
                <w:b/>
                <w:color w:val="111827"/>
                <w:sz w:val="22"/>
              </w:rPr>
              <w:t>1 个志愿栏</w:t>
            </w:r>
            <w:r>
              <w:rPr>
                <w:rFonts w:ascii="PingFang SC" w:hAnsi="PingFang SC" w:eastAsia="PingFang SC"/>
                <w:color w:val="111827"/>
                <w:sz w:val="22"/>
              </w:rPr>
              <w:t xml:space="preserve"> </w:t>
            </w:r>
            <w:r>
              <w:rPr>
                <w:rFonts w:ascii="PingFang SC" w:hAnsi="PingFang SC" w:eastAsia="PingFang SC"/>
                <w:color w:val="111827"/>
                <w:sz w:val="22"/>
              </w:rPr>
              <w:t>（从分配到本区的南开中学、天津一中、耀华中学、天津中学名额中选</w:t>
            </w:r>
            <w:r>
              <w:rPr>
                <w:rFonts w:ascii="PingFang SC" w:hAnsi="PingFang SC" w:eastAsia="PingFang SC"/>
                <w:color w:val="111827"/>
                <w:sz w:val="22"/>
              </w:rPr>
              <w:t xml:space="preserve"> </w:t>
            </w:r>
            <w:r>
              <w:rPr>
                <w:rFonts w:ascii="PingFang SC" w:hAnsi="PingFang SC" w:eastAsia="PingFang SC"/>
                <w:color w:val="111827"/>
                <w:sz w:val="22"/>
              </w:rPr>
              <w:t xml:space="preserve"> 1 </w:t>
            </w:r>
            <w:r>
              <w:rPr>
                <w:rFonts w:ascii="PingFang SC" w:hAnsi="PingFang SC" w:eastAsia="PingFang SC"/>
                <w:color w:val="111827"/>
                <w:sz w:val="22"/>
              </w:rPr>
              <w:t xml:space="preserve"> </w:t>
            </w:r>
            <w:r>
              <w:rPr>
                <w:rFonts w:ascii="PingFang SC" w:hAnsi="PingFang SC" w:eastAsia="PingFang SC"/>
                <w:color w:val="111827"/>
                <w:sz w:val="22"/>
              </w:rPr>
              <w:t>个）</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其他高中</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b/>
                <w:color w:val="111827"/>
                <w:sz w:val="22"/>
              </w:rPr>
              <w:t>16 个志愿栏</w:t>
            </w:r>
            <w:r>
              <w:rPr>
                <w:rFonts w:ascii="PingFang SC" w:hAnsi="PingFang SC" w:eastAsia="PingFang SC"/>
                <w:color w:val="111827"/>
                <w:sz w:val="22"/>
              </w:rPr>
              <w:t xml:space="preserve"> </w:t>
            </w:r>
            <w:r>
              <w:rPr>
                <w:rFonts w:ascii="PingFang SC" w:hAnsi="PingFang SC" w:eastAsia="PingFang SC"/>
                <w:color w:val="111827"/>
                <w:sz w:val="22"/>
              </w:rPr>
              <w:t>；填报学校不少于</w:t>
            </w:r>
            <w:r>
              <w:rPr>
                <w:rFonts w:ascii="PingFang SC" w:hAnsi="PingFang SC" w:eastAsia="PingFang SC"/>
                <w:color w:val="111827"/>
                <w:sz w:val="22"/>
              </w:rPr>
              <w:t xml:space="preserve"> </w:t>
            </w:r>
            <w:r>
              <w:rPr>
                <w:rFonts w:ascii="PingFang SC" w:hAnsi="PingFang SC" w:eastAsia="PingFang SC"/>
                <w:color w:val="111827"/>
                <w:sz w:val="22"/>
              </w:rPr>
              <w:t xml:space="preserve"> 5 </w:t>
            </w:r>
            <w:r>
              <w:rPr>
                <w:rFonts w:ascii="PingFang SC" w:hAnsi="PingFang SC" w:eastAsia="PingFang SC"/>
                <w:color w:val="111827"/>
                <w:sz w:val="22"/>
              </w:rPr>
              <w:t xml:space="preserve"> </w:t>
            </w:r>
            <w:r>
              <w:rPr>
                <w:rFonts w:ascii="PingFang SC" w:hAnsi="PingFang SC" w:eastAsia="PingFang SC"/>
                <w:color w:val="111827"/>
                <w:sz w:val="22"/>
              </w:rPr>
              <w:t>个，且所属区不少于</w:t>
            </w:r>
            <w:r>
              <w:rPr>
                <w:rFonts w:ascii="PingFang SC" w:hAnsi="PingFang SC" w:eastAsia="PingFang SC"/>
                <w:color w:val="111827"/>
                <w:sz w:val="22"/>
              </w:rPr>
              <w:t xml:space="preserve"> </w:t>
            </w:r>
            <w:r>
              <w:rPr>
                <w:rFonts w:ascii="PingFang SC" w:hAnsi="PingFang SC" w:eastAsia="PingFang SC"/>
                <w:color w:val="111827"/>
                <w:sz w:val="22"/>
              </w:rPr>
              <w:t xml:space="preserve"> 2 </w:t>
            </w:r>
            <w:r>
              <w:rPr>
                <w:rFonts w:ascii="PingFang SC" w:hAnsi="PingFang SC" w:eastAsia="PingFang SC"/>
                <w:color w:val="111827"/>
                <w:sz w:val="22"/>
              </w:rPr>
              <w:t xml:space="preserve"> </w:t>
            </w:r>
            <w:r>
              <w:rPr>
                <w:rFonts w:ascii="PingFang SC" w:hAnsi="PingFang SC" w:eastAsia="PingFang SC"/>
                <w:color w:val="111827"/>
                <w:sz w:val="22"/>
              </w:rPr>
              <w:t>个</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b/>
                <w:color w:val="111827"/>
                <w:sz w:val="22"/>
              </w:rPr>
              <w:t>16 个志愿栏</w:t>
            </w:r>
            <w:r>
              <w:rPr>
                <w:rFonts w:ascii="PingFang SC" w:hAnsi="PingFang SC" w:eastAsia="PingFang SC"/>
                <w:color w:val="111827"/>
                <w:sz w:val="22"/>
              </w:rPr>
              <w:t xml:space="preserve"> </w:t>
            </w:r>
            <w:r>
              <w:rPr>
                <w:rFonts w:ascii="PingFang SC" w:hAnsi="PingFang SC" w:eastAsia="PingFang SC"/>
                <w:color w:val="111827"/>
                <w:sz w:val="22"/>
              </w:rPr>
              <w:t>；其中面向全市招生的民办学校志愿不少于</w:t>
            </w:r>
            <w:r>
              <w:rPr>
                <w:rFonts w:ascii="PingFang SC" w:hAnsi="PingFang SC" w:eastAsia="PingFang SC"/>
                <w:color w:val="111827"/>
                <w:sz w:val="22"/>
              </w:rPr>
              <w:t xml:space="preserve"> </w:t>
            </w:r>
            <w:r>
              <w:rPr>
                <w:rFonts w:ascii="PingFang SC" w:hAnsi="PingFang SC" w:eastAsia="PingFang SC"/>
                <w:color w:val="111827"/>
                <w:sz w:val="22"/>
              </w:rPr>
              <w:t xml:space="preserve"> 2 </w:t>
            </w:r>
            <w:r>
              <w:rPr>
                <w:rFonts w:ascii="PingFang SC" w:hAnsi="PingFang SC" w:eastAsia="PingFang SC"/>
                <w:color w:val="111827"/>
                <w:sz w:val="22"/>
              </w:rPr>
              <w:t xml:space="preserve"> </w:t>
            </w:r>
            <w:r>
              <w:rPr>
                <w:rFonts w:ascii="PingFang SC" w:hAnsi="PingFang SC" w:eastAsia="PingFang SC"/>
                <w:color w:val="111827"/>
                <w:sz w:val="22"/>
              </w:rPr>
              <w:t>个，按本区中招办规定办法填报</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中高职类学校</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 xml:space="preserve">16 </w:t>
            </w:r>
            <w:r>
              <w:rPr>
                <w:rFonts w:ascii="PingFang SC" w:hAnsi="PingFang SC" w:eastAsia="PingFang SC"/>
                <w:color w:val="111827"/>
                <w:sz w:val="22"/>
              </w:rPr>
              <w:t xml:space="preserve"> </w:t>
            </w:r>
            <w:r>
              <w:rPr>
                <w:rFonts w:ascii="PingFang SC" w:hAnsi="PingFang SC" w:eastAsia="PingFang SC"/>
                <w:color w:val="111827"/>
                <w:sz w:val="22"/>
              </w:rPr>
              <w:t>个学校及专业志愿栏</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77" w:after="77"/>
            </w:pPr>
            <w:r>
              <w:rPr>
                <w:rFonts w:ascii="PingFang SC" w:hAnsi="PingFang SC" w:eastAsia="PingFang SC"/>
                <w:color w:val="111827"/>
                <w:sz w:val="22"/>
              </w:rPr>
              <w:t xml:space="preserve">16 </w:t>
            </w:r>
            <w:r>
              <w:rPr>
                <w:rFonts w:ascii="PingFang SC" w:hAnsi="PingFang SC" w:eastAsia="PingFang SC"/>
                <w:color w:val="111827"/>
                <w:sz w:val="22"/>
              </w:rPr>
              <w:t xml:space="preserve"> </w:t>
            </w:r>
            <w:r>
              <w:rPr>
                <w:rFonts w:ascii="PingFang SC" w:hAnsi="PingFang SC" w:eastAsia="PingFang SC"/>
                <w:color w:val="111827"/>
                <w:sz w:val="22"/>
              </w:rPr>
              <w:t>个学校及专业志愿栏</w:t>
            </w:r>
          </w:p>
        </w:tc>
      </w:tr>
    </w:tbl>
    <w:p>
      <w:pPr>
        <w:pStyle w:val="Heading3"/>
        <w:spacing w:line="312" w:lineRule="auto"/>
      </w:pPr>
      <w:r>
        <w:rPr>
          <w:rFonts w:ascii="微软雅黑" w:hAnsi="微软雅黑" w:eastAsia="微软雅黑" w:cs="微软雅黑" w:hint="eastAsia"/>
          <w:b w:val="0"/>
          <w:color w:val="111827"/>
          <w:sz w:val="26"/>
          <w:lang w:eastAsia="zh-CN"/>
        </w:rPr>
        <w:t>（二）填写规范</w:t>
      </w:r>
    </w:p>
    <w:p>
      <w:pPr>
        <w:spacing w:line="408" w:lineRule="auto"/>
      </w:pPr>
      <w:r>
        <w:rPr>
          <w:rFonts w:ascii="微软雅黑" w:hAnsi="微软雅黑" w:eastAsia="微软雅黑" w:cs="微软雅黑" w:hint="eastAsia"/>
          <w:color w:val="111827"/>
          <w:sz w:val="22"/>
          <w:lang w:eastAsia="zh-CN"/>
        </w:rPr>
        <w:t xml:space="preserve">高中志愿须填 </w:t>
      </w:r>
      <w:r>
        <w:rPr>
          <w:rFonts w:ascii="微软雅黑" w:hAnsi="微软雅黑" w:eastAsia="微软雅黑" w:cs="微软雅黑" w:hint="eastAsia"/>
          <w:b/>
          <w:color w:val="111827"/>
          <w:sz w:val="22"/>
          <w:lang w:eastAsia="zh-CN"/>
        </w:rPr>
        <w:t>5 位</w:t>
      </w:r>
      <w:r>
        <w:rPr>
          <w:rFonts w:ascii="微软雅黑" w:hAnsi="微软雅黑" w:eastAsia="微软雅黑" w:cs="微软雅黑" w:hint="eastAsia"/>
          <w:color w:val="111827"/>
          <w:sz w:val="22"/>
          <w:lang w:eastAsia="zh-CN"/>
        </w:rPr>
        <w:t>学校代码及对应校名；中高职类须填</w:t>
      </w:r>
      <w:r>
        <w:rPr>
          <w:rFonts w:ascii="PingFang SC" w:hAnsi="PingFang SC"/>
          <w:color w:val="111827"/>
          <w:sz w:val="22"/>
        </w:rPr>
        <w:t xml:space="preserve"> 5 </w:t>
      </w:r>
      <w:r>
        <w:rPr>
          <w:rFonts w:ascii="微软雅黑" w:hAnsi="微软雅黑" w:eastAsia="微软雅黑" w:cs="微软雅黑" w:hint="eastAsia"/>
          <w:color w:val="111827"/>
          <w:sz w:val="22"/>
          <w:lang w:eastAsia="zh-CN"/>
        </w:rPr>
        <w:t>位学校代码、</w:t>
      </w:r>
      <w:r>
        <w:rPr>
          <w:rFonts w:ascii="微软雅黑" w:hAnsi="微软雅黑" w:eastAsia="微软雅黑" w:cs="微软雅黑" w:hint="eastAsia"/>
          <w:b/>
          <w:color w:val="111827"/>
          <w:sz w:val="22"/>
          <w:lang w:eastAsia="zh-CN"/>
        </w:rPr>
        <w:t>2 位</w:t>
      </w:r>
      <w:r>
        <w:rPr>
          <w:rFonts w:ascii="微软雅黑" w:hAnsi="微软雅黑" w:eastAsia="微软雅黑" w:cs="微软雅黑" w:hint="eastAsia"/>
          <w:color w:val="111827"/>
          <w:sz w:val="22"/>
          <w:lang w:eastAsia="zh-CN"/>
        </w:rPr>
        <w:t>专业代码，并在学校名称及专业名称栏的括号内填写计划类别代码。学校代码、专业代码与名称不一致时，</w:t>
      </w:r>
      <w:r>
        <w:rPr>
          <w:rFonts w:ascii="微软雅黑" w:hAnsi="微软雅黑" w:eastAsia="微软雅黑" w:cs="微软雅黑" w:hint="eastAsia"/>
          <w:b/>
          <w:color w:val="111827"/>
          <w:sz w:val="22"/>
          <w:lang w:eastAsia="zh-CN"/>
        </w:rPr>
        <w:t>以代码内容为准</w:t>
      </w:r>
      <w:r>
        <w:rPr>
          <w:rFonts w:ascii="微软雅黑" w:hAnsi="微软雅黑" w:eastAsia="微软雅黑" w:cs="微软雅黑" w:hint="eastAsia"/>
          <w:color w:val="111827"/>
          <w:sz w:val="22"/>
          <w:lang w:eastAsia="zh-CN"/>
        </w:rPr>
        <w:t>。正式志愿由</w:t>
      </w:r>
      <w:r>
        <w:rPr>
          <w:rFonts w:ascii="PingFang SC" w:hAnsi="PingFang SC"/>
          <w:color w:val="111827"/>
          <w:sz w:val="22"/>
        </w:rPr>
        <w:t>“</w:t>
      </w:r>
      <w:r>
        <w:rPr>
          <w:rFonts w:ascii="微软雅黑" w:hAnsi="微软雅黑" w:eastAsia="微软雅黑" w:cs="微软雅黑" w:hint="eastAsia"/>
          <w:color w:val="111827"/>
          <w:sz w:val="22"/>
          <w:lang w:eastAsia="zh-CN"/>
        </w:rPr>
        <w:t>志愿信息采集系统</w:t>
      </w:r>
      <w:r>
        <w:rPr>
          <w:rFonts w:ascii="PingFang SC" w:hAnsi="PingFang SC"/>
          <w:color w:val="111827"/>
          <w:sz w:val="22"/>
        </w:rPr>
        <w:t>”</w:t>
      </w:r>
      <w:r>
        <w:rPr>
          <w:rFonts w:ascii="微软雅黑" w:hAnsi="微软雅黑" w:eastAsia="微软雅黑" w:cs="微软雅黑" w:hint="eastAsia"/>
          <w:color w:val="111827"/>
          <w:sz w:val="22"/>
          <w:lang w:eastAsia="zh-CN"/>
        </w:rPr>
        <w:t>打印、经考生和家长签字确认，作为计算机投档和学校录取的唯一依据。</w:t>
      </w:r>
    </w:p>
    <w:p>
      <w:bookmarkStart w:id="12" w:name="_Toc_section_4"/>
      <w:bookmarkStart w:id="3" w:name="section-4"/>
      <w:pPr>
        <w:pStyle w:val="Heading2"/>
        <w:spacing w:line="312" w:lineRule="auto"/>
      </w:pPr>
      <w:bookmarkEnd w:id="3"/>
      <w:r>
        <w:rPr>
          <w:rFonts w:ascii="微软雅黑" w:hAnsi="微软雅黑" w:eastAsia="微软雅黑" w:cs="微软雅黑" w:hint="eastAsia"/>
          <w:b w:val="0"/>
          <w:color w:val="111827"/>
          <w:sz w:val="30"/>
          <w:lang w:eastAsia="zh-CN"/>
        </w:rPr>
        <w:t>四、录取阶段与投档原则</w:t>
      </w:r>
      <w:bookmarkEnd w:id="12"/>
    </w:p>
    <w:p>
      <w:pPr>
        <w:spacing w:line="408" w:lineRule="auto"/>
      </w:pPr>
      <w:r>
        <w:rPr>
          <w:rFonts w:ascii="微软雅黑" w:hAnsi="微软雅黑" w:eastAsia="微软雅黑" w:cs="微软雅黑" w:hint="eastAsia"/>
          <w:color w:val="111827"/>
          <w:sz w:val="22"/>
          <w:lang w:eastAsia="zh-CN"/>
        </w:rPr>
        <w:t>招生录取分</w:t>
      </w:r>
      <w:r>
        <w:rPr>
          <w:rFonts w:ascii="微软雅黑" w:hAnsi="微软雅黑" w:eastAsia="微软雅黑" w:cs="微软雅黑" w:hint="eastAsia"/>
          <w:b/>
          <w:color w:val="111827"/>
          <w:sz w:val="22"/>
          <w:lang w:eastAsia="zh-CN"/>
        </w:rPr>
        <w:t>两个阶段</w:t>
      </w:r>
      <w:r>
        <w:rPr>
          <w:rFonts w:ascii="微软雅黑" w:hAnsi="微软雅黑" w:eastAsia="微软雅黑" w:cs="微软雅黑" w:hint="eastAsia"/>
          <w:color w:val="111827"/>
          <w:sz w:val="22"/>
          <w:lang w:eastAsia="zh-CN"/>
        </w:rPr>
        <w:t>：</w:t>
      </w:r>
    </w:p>
    <w:p>
      <w:pPr>
        <w:pStyle w:val="ListBullet"/>
        <w:spacing w:line="408" w:lineRule="auto" w:after="66"/>
      </w:pPr>
      <w:r>
        <w:rPr>
          <w:rFonts w:ascii="微软雅黑" w:hAnsi="微软雅黑" w:eastAsia="微软雅黑" w:cs="微软雅黑" w:hint="eastAsia"/>
          <w:b/>
          <w:color w:val="111827"/>
          <w:sz w:val="22"/>
          <w:lang w:eastAsia="zh-CN"/>
        </w:rPr>
        <w:t>普通高中学校录取阶段</w:t>
      </w:r>
      <w:r>
        <w:rPr>
          <w:rFonts w:ascii="微软雅黑" w:hAnsi="微软雅黑" w:eastAsia="微软雅黑" w:cs="微软雅黑" w:hint="eastAsia"/>
          <w:color w:val="111827"/>
          <w:sz w:val="22"/>
          <w:lang w:eastAsia="zh-CN"/>
        </w:rPr>
        <w:t>，分三个批次：</w:t>
      </w:r>
      <w:r>
        <w:rPr>
          <w:rFonts w:ascii="PingFang SC" w:hAnsi="PingFang SC"/>
          <w:color w:val="111827"/>
          <w:sz w:val="22"/>
        </w:rPr>
        <w:t>①</w:t>
      </w:r>
      <w:r>
        <w:rPr>
          <w:rFonts w:ascii="微软雅黑" w:hAnsi="微软雅黑" w:eastAsia="微软雅黑" w:cs="微软雅黑" w:hint="eastAsia"/>
          <w:color w:val="111827"/>
          <w:sz w:val="22"/>
          <w:lang w:eastAsia="zh-CN"/>
        </w:rPr>
        <w:t>艺术类高中学校批次；</w:t>
      </w:r>
      <w:r>
        <w:rPr>
          <w:rFonts w:ascii="PingFang SC" w:hAnsi="PingFang SC"/>
          <w:color w:val="111827"/>
          <w:sz w:val="22"/>
        </w:rPr>
        <w:t>②</w:t>
      </w:r>
      <w:r>
        <w:rPr>
          <w:rFonts w:ascii="微软雅黑" w:hAnsi="微软雅黑" w:eastAsia="微软雅黑" w:cs="微软雅黑" w:hint="eastAsia"/>
          <w:color w:val="111827"/>
          <w:sz w:val="22"/>
          <w:lang w:eastAsia="zh-CN"/>
        </w:rPr>
        <w:t>九所市重点高中学校批次（市内六区以外区为市教委直属重点高中批次）；</w:t>
      </w:r>
      <w:r>
        <w:rPr>
          <w:rFonts w:ascii="PingFang SC" w:hAnsi="PingFang SC"/>
          <w:color w:val="111827"/>
          <w:sz w:val="22"/>
        </w:rPr>
        <w:t>③</w:t>
      </w:r>
      <w:r>
        <w:rPr>
          <w:rFonts w:ascii="微软雅黑" w:hAnsi="微软雅黑" w:eastAsia="微软雅黑" w:cs="微软雅黑" w:hint="eastAsia"/>
          <w:color w:val="111827"/>
          <w:sz w:val="22"/>
          <w:lang w:eastAsia="zh-CN"/>
        </w:rPr>
        <w:t>其他高中学校批次。</w:t>
      </w:r>
    </w:p>
    <w:p>
      <w:pPr>
        <w:pStyle w:val="ListBullet"/>
        <w:spacing w:line="408" w:lineRule="auto" w:after="66"/>
      </w:pPr>
      <w:r>
        <w:rPr>
          <w:rFonts w:ascii="微软雅黑" w:hAnsi="微软雅黑" w:eastAsia="微软雅黑" w:cs="微软雅黑" w:hint="eastAsia"/>
          <w:b/>
          <w:color w:val="111827"/>
          <w:sz w:val="22"/>
          <w:lang w:eastAsia="zh-CN"/>
        </w:rPr>
        <w:t>中高职类学校录取阶段</w:t>
      </w:r>
      <w:r>
        <w:rPr>
          <w:rFonts w:ascii="微软雅黑" w:hAnsi="微软雅黑" w:eastAsia="微软雅黑" w:cs="微软雅黑" w:hint="eastAsia"/>
          <w:color w:val="111827"/>
          <w:sz w:val="22"/>
          <w:lang w:eastAsia="zh-CN"/>
        </w:rPr>
        <w:t>，为一个批次，包含综合高中班、五年制高等职业教育、中高职贯通培养（五年一贯制、系统化人才培养项目）、三二分段中职接高职、中职学校普通类（含艺体类）及技工学校中级工班、高级工班等。</w:t>
      </w:r>
    </w:p>
    <w:p>
      <w:pPr>
        <w:spacing w:line="408" w:lineRule="auto"/>
      </w:pPr>
      <w:r>
        <w:rPr>
          <w:rFonts w:ascii="微软雅黑" w:hAnsi="微软雅黑" w:eastAsia="微软雅黑" w:cs="微软雅黑" w:hint="eastAsia"/>
          <w:b/>
          <w:color w:val="111827"/>
          <w:sz w:val="22"/>
          <w:lang w:eastAsia="zh-CN"/>
        </w:rPr>
        <w:t>投档原则</w:t>
      </w:r>
      <w:r>
        <w:rPr>
          <w:rFonts w:ascii="微软雅黑" w:hAnsi="微软雅黑" w:eastAsia="微软雅黑" w:cs="微软雅黑" w:hint="eastAsia"/>
          <w:color w:val="111827"/>
          <w:sz w:val="22"/>
          <w:lang w:eastAsia="zh-CN"/>
        </w:rPr>
        <w:t>：各阶段投档录取均按</w:t>
      </w:r>
      <w:r>
        <w:rPr>
          <w:rFonts w:ascii="PingFang SC" w:hAnsi="PingFang SC"/>
          <w:color w:val="111827"/>
          <w:sz w:val="22"/>
        </w:rPr>
        <w:t>“</w:t>
      </w:r>
      <w:r>
        <w:rPr>
          <w:rFonts w:ascii="微软雅黑" w:hAnsi="微软雅黑" w:eastAsia="微软雅黑" w:cs="微软雅黑" w:hint="eastAsia"/>
          <w:b/>
          <w:color w:val="111827"/>
          <w:sz w:val="22"/>
          <w:lang w:eastAsia="zh-CN"/>
        </w:rPr>
        <w:t>分数优先、遵循志愿、一次投档</w:t>
      </w:r>
      <w:r>
        <w:rPr>
          <w:rFonts w:ascii="PingFang SC" w:hAnsi="PingFang SC"/>
          <w:color w:val="111827"/>
          <w:sz w:val="22"/>
        </w:rPr>
        <w:t>”</w:t>
      </w:r>
      <w:r>
        <w:rPr>
          <w:rFonts w:ascii="微软雅黑" w:hAnsi="微软雅黑" w:eastAsia="微软雅黑" w:cs="微软雅黑" w:hint="eastAsia"/>
          <w:color w:val="111827"/>
          <w:sz w:val="22"/>
          <w:lang w:eastAsia="zh-CN"/>
        </w:rPr>
        <w:t>的原则进行，由市中招办统一组织。</w:t>
      </w:r>
    </w:p>
    <w:p>
      <w:pPr>
        <w:spacing w:line="408" w:lineRule="auto"/>
      </w:pPr>
      <w:r>
        <w:rPr>
          <w:rFonts w:ascii="微软雅黑" w:hAnsi="微软雅黑" w:eastAsia="微软雅黑" w:cs="微软雅黑" w:hint="eastAsia"/>
          <w:b/>
          <w:color w:val="111827"/>
          <w:sz w:val="22"/>
          <w:lang w:eastAsia="zh-CN"/>
        </w:rPr>
        <w:t>批次衔接与补录</w:t>
      </w:r>
      <w:r>
        <w:rPr>
          <w:rFonts w:ascii="微软雅黑" w:hAnsi="微软雅黑" w:eastAsia="微软雅黑" w:cs="微软雅黑" w:hint="eastAsia"/>
          <w:color w:val="111827"/>
          <w:sz w:val="22"/>
          <w:lang w:eastAsia="zh-CN"/>
        </w:rPr>
        <w:t>：已被上一批次录取的考生不再参加下一批次录取；未被普通高中录取的考生可参加全市统一组织的普通高中余缺计划补录；普通高中和中高职类均未被录取的考生，可参加中高职类学校余缺计划补录。</w:t>
      </w:r>
    </w:p>
    <w:p>
      <w:pPr>
        <w:spacing w:line="408" w:lineRule="auto"/>
      </w:pPr>
      <w:r>
        <w:rPr>
          <w:rFonts w:ascii="微软雅黑" w:hAnsi="微软雅黑" w:eastAsia="微软雅黑" w:cs="微软雅黑" w:hint="eastAsia"/>
          <w:b/>
          <w:color w:val="111827"/>
          <w:sz w:val="22"/>
          <w:lang w:eastAsia="zh-CN"/>
        </w:rPr>
        <w:t>同分优先顺序</w:t>
      </w:r>
      <w:r>
        <w:rPr>
          <w:rFonts w:ascii="微软雅黑" w:hAnsi="微软雅黑" w:eastAsia="微软雅黑" w:cs="微软雅黑" w:hint="eastAsia"/>
          <w:color w:val="111827"/>
          <w:sz w:val="22"/>
          <w:lang w:eastAsia="zh-CN"/>
        </w:rPr>
        <w:t>（升学成绩相同时）依次为：</w:t>
      </w:r>
      <w:r>
        <w:rPr>
          <w:rFonts w:ascii="PingFang SC" w:hAnsi="PingFang SC"/>
          <w:color w:val="111827"/>
          <w:sz w:val="22"/>
        </w:rPr>
        <w:t>①</w:t>
      </w:r>
      <w:r>
        <w:rPr>
          <w:rFonts w:ascii="微软雅黑" w:hAnsi="微软雅黑" w:eastAsia="微软雅黑" w:cs="微软雅黑" w:hint="eastAsia"/>
          <w:color w:val="111827"/>
          <w:sz w:val="22"/>
          <w:lang w:eastAsia="zh-CN"/>
        </w:rPr>
        <w:t>政策范围内的现役军人和消防救援人员子女、抗疫一线医务人员子女；</w:t>
      </w:r>
      <w:r>
        <w:rPr>
          <w:rFonts w:ascii="PingFang SC" w:hAnsi="PingFang SC"/>
          <w:color w:val="111827"/>
          <w:sz w:val="22"/>
        </w:rPr>
        <w:t>②</w:t>
      </w:r>
      <w:r>
        <w:rPr>
          <w:rFonts w:ascii="微软雅黑" w:hAnsi="微软雅黑" w:eastAsia="微软雅黑" w:cs="微软雅黑" w:hint="eastAsia"/>
          <w:color w:val="111827"/>
          <w:sz w:val="22"/>
          <w:lang w:eastAsia="zh-CN"/>
        </w:rPr>
        <w:t>驻外使领馆工作人员随任子女；</w:t>
      </w:r>
      <w:r>
        <w:rPr>
          <w:rFonts w:ascii="PingFang SC" w:hAnsi="PingFang SC"/>
          <w:color w:val="111827"/>
          <w:sz w:val="22"/>
        </w:rPr>
        <w:t>③</w:t>
      </w:r>
      <w:r>
        <w:rPr>
          <w:rFonts w:ascii="微软雅黑" w:hAnsi="微软雅黑" w:eastAsia="微软雅黑" w:cs="微软雅黑" w:hint="eastAsia"/>
          <w:color w:val="111827"/>
          <w:sz w:val="22"/>
          <w:lang w:eastAsia="zh-CN"/>
        </w:rPr>
        <w:t>区级优秀学生（干部）；</w:t>
      </w:r>
      <w:r>
        <w:rPr>
          <w:rFonts w:ascii="PingFang SC" w:hAnsi="PingFang SC"/>
          <w:color w:val="111827"/>
          <w:sz w:val="22"/>
        </w:rPr>
        <w:t>④</w:t>
      </w:r>
      <w:r>
        <w:rPr>
          <w:rFonts w:ascii="微软雅黑" w:hAnsi="微软雅黑" w:eastAsia="微软雅黑" w:cs="微软雅黑" w:hint="eastAsia"/>
          <w:color w:val="111827"/>
          <w:sz w:val="22"/>
          <w:lang w:eastAsia="zh-CN"/>
        </w:rPr>
        <w:t>见义勇为人员本人及其子女；</w:t>
      </w:r>
      <w:r>
        <w:rPr>
          <w:rFonts w:ascii="PingFang SC" w:hAnsi="PingFang SC"/>
          <w:color w:val="111827"/>
          <w:sz w:val="22"/>
        </w:rPr>
        <w:t>⑤</w:t>
      </w:r>
      <w:r>
        <w:rPr>
          <w:rFonts w:ascii="微软雅黑" w:hAnsi="微软雅黑" w:eastAsia="微软雅黑" w:cs="微软雅黑" w:hint="eastAsia"/>
          <w:color w:val="111827"/>
          <w:sz w:val="22"/>
          <w:lang w:eastAsia="zh-CN"/>
        </w:rPr>
        <w:t>语文、数学、外语三科成绩之和高者；</w:t>
      </w:r>
      <w:r>
        <w:rPr>
          <w:rFonts w:ascii="PingFang SC" w:hAnsi="PingFang SC"/>
          <w:color w:val="111827"/>
          <w:sz w:val="22"/>
        </w:rPr>
        <w:t>⑥</w:t>
      </w:r>
      <w:r>
        <w:rPr>
          <w:rFonts w:ascii="微软雅黑" w:hAnsi="微软雅黑" w:eastAsia="微软雅黑" w:cs="微软雅黑" w:hint="eastAsia"/>
          <w:color w:val="111827"/>
          <w:sz w:val="22"/>
          <w:lang w:eastAsia="zh-CN"/>
        </w:rPr>
        <w:t>语文、数学两科成绩之和高者。</w:t>
      </w:r>
    </w:p>
    <w:p>
      <w:pPr>
        <w:spacing w:line="408" w:lineRule="auto"/>
        <w:pBdr>
          <w:left w:val="single" w:sz="18" w:space="0" w:color="2563EB"/>
        </w:pBdr>
        <w:shd w:val="clear" w:color="auto" w:fill="F3F4F6"/>
      </w:pPr>
      <w:r>
        <w:rPr>
          <w:rFonts w:ascii="PingFang SC" w:hAnsi="PingFang SC"/>
          <w:color w:val="111827"/>
          <w:sz w:val="22"/>
        </w:rPr>
        <w:t xml:space="preserve">  </w:t>
      </w:r>
      <w:r>
        <w:rPr>
          <w:rFonts w:ascii="微软雅黑" w:hAnsi="微软雅黑" w:eastAsia="微软雅黑" w:cs="微软雅黑" w:hint="eastAsia"/>
          <w:b/>
          <w:color w:val="111827"/>
          <w:sz w:val="22"/>
          <w:lang w:eastAsia="zh-CN"/>
        </w:rPr>
        <w:t>等级门槛</w:t>
      </w:r>
      <w:r>
        <w:rPr>
          <w:rFonts w:ascii="微软雅黑" w:hAnsi="微软雅黑" w:eastAsia="微软雅黑" w:cs="微软雅黑" w:hint="eastAsia"/>
          <w:color w:val="111827"/>
          <w:sz w:val="22"/>
          <w:lang w:eastAsia="zh-CN"/>
        </w:rPr>
        <w:t>：报考普通高中学校的考生，等级计分各科目成绩均须达到</w:t>
      </w:r>
      <w:r>
        <w:rPr>
          <w:rFonts w:ascii="PingFang SC" w:hAnsi="PingFang SC"/>
          <w:color w:val="111827"/>
          <w:sz w:val="22"/>
        </w:rPr>
        <w:t>“</w:t>
      </w:r>
      <w:r>
        <w:rPr>
          <w:rFonts w:ascii="微软雅黑" w:hAnsi="微软雅黑" w:eastAsia="微软雅黑" w:cs="微软雅黑" w:hint="eastAsia"/>
          <w:color w:val="111827"/>
          <w:sz w:val="22"/>
          <w:lang w:eastAsia="zh-CN"/>
        </w:rPr>
        <w:t>合格</w:t>
      </w:r>
      <w:r>
        <w:rPr>
          <w:rFonts w:ascii="PingFang SC" w:hAnsi="PingFang SC"/>
          <w:color w:val="111827"/>
          <w:sz w:val="22"/>
        </w:rPr>
        <w:t>”</w:t>
      </w:r>
      <w:r>
        <w:rPr>
          <w:rFonts w:ascii="微软雅黑" w:hAnsi="微软雅黑" w:eastAsia="微软雅黑" w:cs="微软雅黑" w:hint="eastAsia"/>
          <w:color w:val="111827"/>
          <w:sz w:val="22"/>
          <w:lang w:eastAsia="zh-CN"/>
        </w:rPr>
        <w:t>；报考市重点高中学校（含市教委直属重点高中和区属市重点高中）的考生，等级计分科目中至少有</w:t>
      </w:r>
      <w:r>
        <w:rPr>
          <w:rFonts w:ascii="PingFang SC" w:hAnsi="PingFang SC"/>
          <w:color w:val="111827"/>
          <w:sz w:val="22"/>
        </w:rPr>
        <w:t xml:space="preserve"> 1 </w:t>
      </w:r>
      <w:r>
        <w:rPr>
          <w:rFonts w:ascii="微软雅黑" w:hAnsi="微软雅黑" w:eastAsia="微软雅黑" w:cs="微软雅黑" w:hint="eastAsia"/>
          <w:color w:val="111827"/>
          <w:sz w:val="22"/>
          <w:lang w:eastAsia="zh-CN"/>
        </w:rPr>
        <w:t>个科目须达到</w:t>
      </w:r>
      <w:r>
        <w:rPr>
          <w:rFonts w:ascii="PingFang SC" w:hAnsi="PingFang SC"/>
          <w:color w:val="111827"/>
          <w:sz w:val="22"/>
        </w:rPr>
        <w:t>“</w:t>
      </w:r>
      <w:r>
        <w:rPr>
          <w:rFonts w:ascii="微软雅黑" w:hAnsi="微软雅黑" w:eastAsia="微软雅黑" w:cs="微软雅黑" w:hint="eastAsia"/>
          <w:color w:val="111827"/>
          <w:sz w:val="22"/>
          <w:lang w:eastAsia="zh-CN"/>
        </w:rPr>
        <w:t>良好</w:t>
      </w:r>
      <w:r>
        <w:rPr>
          <w:rFonts w:ascii="PingFang SC" w:hAnsi="PingFang SC"/>
          <w:color w:val="111827"/>
          <w:sz w:val="22"/>
        </w:rPr>
        <w:t>”</w:t>
      </w:r>
      <w:r>
        <w:rPr>
          <w:rFonts w:ascii="微软雅黑" w:hAnsi="微软雅黑" w:eastAsia="微软雅黑" w:cs="微软雅黑" w:hint="eastAsia"/>
          <w:color w:val="111827"/>
          <w:sz w:val="22"/>
          <w:lang w:eastAsia="zh-CN"/>
        </w:rPr>
        <w:t>及以上。</w:t>
      </w:r>
    </w:p>
    <w:p>
      <w:bookmarkStart w:id="13" w:name="_Toc_section_5"/>
      <w:bookmarkStart w:id="4" w:name="section-5"/>
      <w:pPr>
        <w:pStyle w:val="Heading2"/>
        <w:spacing w:line="312" w:lineRule="auto"/>
      </w:pPr>
      <w:bookmarkEnd w:id="4"/>
      <w:r>
        <w:rPr>
          <w:rFonts w:ascii="微软雅黑" w:hAnsi="微软雅黑" w:eastAsia="微软雅黑" w:cs="微软雅黑" w:hint="eastAsia"/>
          <w:b w:val="0"/>
          <w:color w:val="111827"/>
          <w:sz w:val="30"/>
          <w:lang w:eastAsia="zh-CN"/>
        </w:rPr>
        <w:t>五、政策照顾</w:t>
      </w:r>
      <w:bookmarkEnd w:id="13"/>
    </w:p>
    <w:p>
      <w:pPr>
        <w:spacing w:line="408" w:lineRule="auto"/>
      </w:pPr>
      <w:r>
        <w:rPr>
          <w:rFonts w:ascii="微软雅黑" w:hAnsi="微软雅黑" w:eastAsia="微软雅黑" w:cs="微软雅黑" w:hint="eastAsia"/>
          <w:b/>
          <w:color w:val="111827"/>
          <w:sz w:val="22"/>
          <w:lang w:eastAsia="zh-CN"/>
        </w:rPr>
        <w:t>加分 5 分</w:t>
      </w:r>
      <w:r>
        <w:rPr>
          <w:rFonts w:ascii="微软雅黑" w:hAnsi="微软雅黑" w:eastAsia="微软雅黑" w:cs="微软雅黑" w:hint="eastAsia"/>
          <w:color w:val="111827"/>
          <w:sz w:val="22"/>
          <w:lang w:eastAsia="zh-CN"/>
        </w:rPr>
        <w:t>（应届初中毕业生）：市级优秀学生、市级优秀学生干部；归侨考生、归侨子女、华侨在国内的子女；台湾省籍考生；少数民族考生。</w:t>
      </w:r>
    </w:p>
    <w:p>
      <w:pPr>
        <w:spacing w:line="408" w:lineRule="auto"/>
      </w:pPr>
      <w:r>
        <w:rPr>
          <w:rFonts w:ascii="微软雅黑" w:hAnsi="微软雅黑" w:eastAsia="微软雅黑" w:cs="微软雅黑" w:hint="eastAsia"/>
          <w:b/>
          <w:color w:val="111827"/>
          <w:sz w:val="22"/>
          <w:lang w:eastAsia="zh-CN"/>
        </w:rPr>
        <w:t>降分录取</w:t>
      </w:r>
      <w:r>
        <w:rPr>
          <w:rFonts w:ascii="微软雅黑" w:hAnsi="微软雅黑" w:eastAsia="微软雅黑" w:cs="微软雅黑" w:hint="eastAsia"/>
          <w:color w:val="111827"/>
          <w:sz w:val="22"/>
          <w:lang w:eastAsia="zh-CN"/>
        </w:rPr>
        <w:t>：</w:t>
      </w:r>
    </w:p>
    <w:p>
      <w:pPr>
        <w:pStyle w:val="ListBullet"/>
        <w:spacing w:line="408" w:lineRule="auto" w:after="66"/>
      </w:pPr>
      <w:r>
        <w:rPr>
          <w:rFonts w:ascii="微软雅黑" w:hAnsi="微软雅黑" w:eastAsia="微软雅黑" w:cs="微软雅黑" w:hint="eastAsia"/>
          <w:b/>
          <w:color w:val="111827"/>
          <w:sz w:val="22"/>
          <w:lang w:eastAsia="zh-CN"/>
        </w:rPr>
        <w:t>降 20 分</w:t>
      </w:r>
      <w:r>
        <w:rPr>
          <w:rFonts w:ascii="微软雅黑" w:hAnsi="微软雅黑" w:eastAsia="微软雅黑" w:cs="微软雅黑" w:hint="eastAsia"/>
          <w:color w:val="111827"/>
          <w:sz w:val="22"/>
          <w:lang w:eastAsia="zh-CN"/>
        </w:rPr>
        <w:t>：烈士子女；驻三类（含）以上艰苦边远地区、西藏自治区及二类（含）以上岛屿部队，或飞行、潜艇、航天、涉核等高风险高危害岗位工作的现役军人子女；符合条件的在职消防救援人员子女。</w:t>
      </w:r>
    </w:p>
    <w:p>
      <w:pPr>
        <w:pStyle w:val="ListBullet"/>
        <w:spacing w:line="408" w:lineRule="auto" w:after="66"/>
      </w:pPr>
      <w:r>
        <w:rPr>
          <w:rFonts w:ascii="微软雅黑" w:hAnsi="微软雅黑" w:eastAsia="微软雅黑" w:cs="微软雅黑" w:hint="eastAsia"/>
          <w:b/>
          <w:color w:val="111827"/>
          <w:sz w:val="22"/>
          <w:lang w:eastAsia="zh-CN"/>
        </w:rPr>
        <w:t>降 10 分</w:t>
      </w:r>
      <w:r>
        <w:rPr>
          <w:rFonts w:ascii="微软雅黑" w:hAnsi="微软雅黑" w:eastAsia="微软雅黑" w:cs="微软雅黑" w:hint="eastAsia"/>
          <w:color w:val="111827"/>
          <w:sz w:val="22"/>
          <w:lang w:eastAsia="zh-CN"/>
        </w:rPr>
        <w:t>：作战部队、驻一类二类艰苦边远地区及三类岛屿部队的现役军人子女；因公牺牲军人子女；一至四级残疾军人子女；平时荣立二等功或战时荣立三等功以上的现役军人子女；一、二级公安英模子女、因公牺牲人民警察子女、一至四级因公伤残人民警察子女；符合条件的英雄模范、因公牺牲和一级至四级因公伤残消防救援人员子女等。</w:t>
      </w:r>
    </w:p>
    <w:p>
      <w:pPr>
        <w:pStyle w:val="ListBullet"/>
        <w:spacing w:line="408" w:lineRule="auto" w:after="66"/>
      </w:pPr>
      <w:r>
        <w:rPr>
          <w:rFonts w:ascii="微软雅黑" w:hAnsi="微软雅黑" w:eastAsia="微软雅黑" w:cs="微软雅黑" w:hint="eastAsia"/>
          <w:b/>
          <w:color w:val="111827"/>
          <w:sz w:val="22"/>
          <w:lang w:eastAsia="zh-CN"/>
        </w:rPr>
        <w:t>降 5 分</w:t>
      </w:r>
      <w:r>
        <w:rPr>
          <w:rFonts w:ascii="微软雅黑" w:hAnsi="微软雅黑" w:eastAsia="微软雅黑" w:cs="微软雅黑" w:hint="eastAsia"/>
          <w:color w:val="111827"/>
          <w:sz w:val="22"/>
          <w:lang w:eastAsia="zh-CN"/>
        </w:rPr>
        <w:t>：获两次以上（含两次）三等功奖励的驻津部队现役军人子女。</w:t>
      </w:r>
    </w:p>
    <w:p>
      <w:pPr>
        <w:spacing w:line="408" w:lineRule="auto"/>
      </w:pPr>
      <w:r>
        <w:rPr>
          <w:rFonts w:ascii="微软雅黑" w:hAnsi="微软雅黑" w:eastAsia="微软雅黑" w:cs="微软雅黑" w:hint="eastAsia"/>
          <w:b/>
          <w:color w:val="111827"/>
          <w:sz w:val="22"/>
          <w:lang w:eastAsia="zh-CN"/>
        </w:rPr>
        <w:t>同等条件下优先录取</w:t>
      </w:r>
      <w:r>
        <w:rPr>
          <w:rFonts w:ascii="微软雅黑" w:hAnsi="微软雅黑" w:eastAsia="微软雅黑" w:cs="微软雅黑" w:hint="eastAsia"/>
          <w:color w:val="111827"/>
          <w:sz w:val="22"/>
          <w:lang w:eastAsia="zh-CN"/>
        </w:rPr>
        <w:t>：上述范围以外的现役军人子女和在职消防救援人员子女；抗疫一线医务人员子女；驻外使领馆工作人员随任子女；区级优秀学生或优秀学生干部；见义勇为人员本人及因见义勇为死亡或致残人员的子女。</w:t>
      </w:r>
    </w:p>
    <w:p>
      <w:pPr>
        <w:spacing w:line="408" w:lineRule="auto"/>
        <w:pBdr>
          <w:left w:val="single" w:sz="18" w:space="0" w:color="2563EB"/>
        </w:pBdr>
        <w:shd w:val="clear" w:color="auto" w:fill="F3F4F6"/>
      </w:pPr>
      <w:r>
        <w:rPr>
          <w:rFonts w:ascii="PingFang SC" w:hAnsi="PingFang SC"/>
          <w:color w:val="111827"/>
          <w:sz w:val="22"/>
        </w:rPr>
        <w:t xml:space="preserve">  </w:t>
      </w:r>
      <w:r>
        <w:rPr>
          <w:rFonts w:ascii="微软雅黑" w:hAnsi="微软雅黑" w:eastAsia="微软雅黑" w:cs="微软雅黑" w:hint="eastAsia"/>
          <w:b/>
          <w:color w:val="111827"/>
          <w:sz w:val="22"/>
          <w:lang w:eastAsia="zh-CN"/>
        </w:rPr>
        <w:t>限制</w:t>
      </w:r>
      <w:r>
        <w:rPr>
          <w:rFonts w:ascii="微软雅黑" w:hAnsi="微软雅黑" w:eastAsia="微软雅黑" w:cs="微软雅黑" w:hint="eastAsia"/>
          <w:color w:val="111827"/>
          <w:sz w:val="22"/>
          <w:lang w:eastAsia="zh-CN"/>
        </w:rPr>
        <w:t>：同时符合多项照顾条件的只能享受一项；</w:t>
      </w:r>
      <w:r>
        <w:rPr>
          <w:rFonts w:ascii="微软雅黑" w:hAnsi="微软雅黑" w:eastAsia="微软雅黑" w:cs="微软雅黑" w:hint="eastAsia"/>
          <w:b/>
          <w:color w:val="111827"/>
          <w:sz w:val="22"/>
          <w:lang w:eastAsia="zh-CN"/>
        </w:rPr>
        <w:t>政策照顾、特长生降分、指标生降分三者不能兼享</w:t>
      </w:r>
      <w:r>
        <w:rPr>
          <w:rFonts w:ascii="微软雅黑" w:hAnsi="微软雅黑" w:eastAsia="微软雅黑" w:cs="微软雅黑" w:hint="eastAsia"/>
          <w:color w:val="111827"/>
          <w:sz w:val="22"/>
          <w:lang w:eastAsia="zh-CN"/>
        </w:rPr>
        <w:t>。</w:t>
      </w:r>
    </w:p>
    <w:p>
      <w:bookmarkStart w:id="14" w:name="_Toc_section_6"/>
      <w:bookmarkStart w:id="5" w:name="section-6"/>
      <w:pPr>
        <w:pStyle w:val="Heading2"/>
        <w:spacing w:line="312" w:lineRule="auto"/>
      </w:pPr>
      <w:bookmarkEnd w:id="5"/>
      <w:r>
        <w:rPr>
          <w:rFonts w:ascii="微软雅黑" w:hAnsi="微软雅黑" w:eastAsia="微软雅黑" w:cs="微软雅黑" w:hint="eastAsia"/>
          <w:b w:val="0"/>
          <w:color w:val="111827"/>
          <w:sz w:val="30"/>
          <w:lang w:eastAsia="zh-CN"/>
        </w:rPr>
        <w:t>六、指标生</w:t>
      </w:r>
      <w:bookmarkEnd w:id="14"/>
    </w:p>
    <w:p>
      <w:pPr>
        <w:spacing w:line="408" w:lineRule="auto"/>
      </w:pPr>
      <w:r>
        <w:rPr>
          <w:rFonts w:ascii="微软雅黑" w:hAnsi="微软雅黑" w:eastAsia="微软雅黑" w:cs="微软雅黑" w:hint="eastAsia"/>
          <w:color w:val="111827"/>
          <w:sz w:val="22"/>
          <w:lang w:eastAsia="zh-CN"/>
        </w:rPr>
        <w:t>优质高中招生指标分配在市重点高中学校（含滨海新区部分非市重点优质高中）范围内进行，以应届九年级在籍学生人数为基数，按比例将部分招生计划分配到本区每一所初中学校；初中学校按推荐规则确定推荐名单，名单内考生即为指标生。取得指标生资格并将定向推荐学校填在该校所在批次</w:t>
      </w:r>
      <w:r>
        <w:rPr>
          <w:rFonts w:ascii="微软雅黑" w:hAnsi="微软雅黑" w:eastAsia="微软雅黑" w:cs="微软雅黑" w:hint="eastAsia"/>
          <w:b/>
          <w:color w:val="111827"/>
          <w:sz w:val="22"/>
          <w:lang w:eastAsia="zh-CN"/>
        </w:rPr>
        <w:t>志愿栏首位</w:t>
      </w:r>
      <w:r>
        <w:rPr>
          <w:rFonts w:ascii="微软雅黑" w:hAnsi="微软雅黑" w:eastAsia="微软雅黑" w:cs="微软雅黑" w:hint="eastAsia"/>
          <w:color w:val="111827"/>
          <w:sz w:val="22"/>
          <w:lang w:eastAsia="zh-CN"/>
        </w:rPr>
        <w:t>的考生，享受</w:t>
      </w:r>
      <w:r>
        <w:rPr>
          <w:rFonts w:ascii="微软雅黑" w:hAnsi="微软雅黑" w:eastAsia="微软雅黑" w:cs="微软雅黑" w:hint="eastAsia"/>
          <w:b/>
          <w:color w:val="111827"/>
          <w:sz w:val="22"/>
          <w:lang w:eastAsia="zh-CN"/>
        </w:rPr>
        <w:t>降 20 分录取</w:t>
      </w:r>
      <w:r>
        <w:rPr>
          <w:rFonts w:ascii="微软雅黑" w:hAnsi="微软雅黑" w:eastAsia="微软雅黑" w:cs="微软雅黑" w:hint="eastAsia"/>
          <w:color w:val="111827"/>
          <w:sz w:val="22"/>
          <w:lang w:eastAsia="zh-CN"/>
        </w:rPr>
        <w:t>政策。指标生填报其他学校志愿时，与未取得资格的考生实行同一录取办法。</w:t>
      </w:r>
    </w:p>
    <w:p>
      <w:bookmarkStart w:id="15" w:name="_Toc_section_7"/>
      <w:bookmarkStart w:id="6" w:name="section-7"/>
      <w:pPr>
        <w:pStyle w:val="Heading2"/>
        <w:spacing w:line="312" w:lineRule="auto"/>
      </w:pPr>
      <w:bookmarkEnd w:id="6"/>
      <w:r>
        <w:rPr>
          <w:rFonts w:ascii="微软雅黑" w:hAnsi="微软雅黑" w:eastAsia="微软雅黑" w:cs="微软雅黑" w:hint="eastAsia"/>
          <w:b w:val="0"/>
          <w:color w:val="111827"/>
          <w:sz w:val="30"/>
          <w:lang w:eastAsia="zh-CN"/>
        </w:rPr>
        <w:t>七、特长生与实验班</w:t>
      </w:r>
      <w:bookmarkEnd w:id="15"/>
    </w:p>
    <w:p>
      <w:pPr>
        <w:pStyle w:val="ListBullet"/>
        <w:spacing w:line="408" w:lineRule="auto" w:after="66"/>
      </w:pPr>
      <w:r>
        <w:rPr>
          <w:rFonts w:ascii="微软雅黑" w:hAnsi="微软雅黑" w:eastAsia="微软雅黑" w:cs="微软雅黑" w:hint="eastAsia"/>
          <w:b/>
          <w:color w:val="111827"/>
          <w:sz w:val="22"/>
          <w:lang w:eastAsia="zh-CN"/>
        </w:rPr>
        <w:t>特长生</w:t>
      </w:r>
      <w:r>
        <w:rPr>
          <w:rFonts w:ascii="微软雅黑" w:hAnsi="微软雅黑" w:eastAsia="微软雅黑" w:cs="微软雅黑" w:hint="eastAsia"/>
          <w:color w:val="111827"/>
          <w:sz w:val="22"/>
          <w:lang w:eastAsia="zh-CN"/>
        </w:rPr>
        <w:t>：体育、艺术、科技三类。体育特长生须符合招生学校报名简章条件；艺术特长生须取得市教委颁发的当学年《天津市中学艺术特长生证书》；科技特长生须在市级及以上科技活动或竞赛中获奖（如</w:t>
      </w:r>
      <w:r>
        <w:rPr>
          <w:rFonts w:ascii="PingFang SC" w:hAnsi="PingFang SC"/>
          <w:color w:val="111827"/>
          <w:sz w:val="22"/>
        </w:rPr>
        <w:t xml:space="preserve"> CCF CSP-J2/S2 </w:t>
      </w:r>
      <w:r>
        <w:rPr>
          <w:rFonts w:ascii="微软雅黑" w:hAnsi="微软雅黑" w:eastAsia="微软雅黑" w:cs="微软雅黑" w:hint="eastAsia"/>
          <w:color w:val="111827"/>
          <w:sz w:val="22"/>
          <w:lang w:eastAsia="zh-CN"/>
        </w:rPr>
        <w:t>天津赛区一、二等奖，或天津市青少年科技创新大赛科技创新成果项目初中组一、二等奖）。通过审批及公示的特长生，须将报考学校填在学校所在批次</w:t>
      </w:r>
      <w:r>
        <w:rPr>
          <w:rFonts w:ascii="微软雅黑" w:hAnsi="微软雅黑" w:eastAsia="微软雅黑" w:cs="微软雅黑" w:hint="eastAsia"/>
          <w:b/>
          <w:color w:val="111827"/>
          <w:sz w:val="22"/>
          <w:lang w:eastAsia="zh-CN"/>
        </w:rPr>
        <w:t>志愿栏首位</w:t>
      </w:r>
      <w:r>
        <w:rPr>
          <w:rFonts w:ascii="微软雅黑" w:hAnsi="微软雅黑" w:eastAsia="微软雅黑" w:cs="微软雅黑" w:hint="eastAsia"/>
          <w:color w:val="111827"/>
          <w:sz w:val="22"/>
          <w:lang w:eastAsia="zh-CN"/>
        </w:rPr>
        <w:t>，方可享受特长生录取政策。</w:t>
      </w:r>
    </w:p>
    <w:p>
      <w:pPr>
        <w:pStyle w:val="ListBullet"/>
        <w:spacing w:line="408" w:lineRule="auto" w:after="66"/>
      </w:pPr>
      <w:r>
        <w:rPr>
          <w:rFonts w:ascii="微软雅黑" w:hAnsi="微软雅黑" w:eastAsia="微软雅黑" w:cs="微软雅黑" w:hint="eastAsia"/>
          <w:b/>
          <w:color w:val="111827"/>
          <w:sz w:val="22"/>
          <w:lang w:eastAsia="zh-CN"/>
        </w:rPr>
        <w:t>创新型人才培养项目实验班</w:t>
      </w:r>
      <w:r>
        <w:rPr>
          <w:rFonts w:ascii="微软雅黑" w:hAnsi="微软雅黑" w:eastAsia="微软雅黑" w:cs="微软雅黑" w:hint="eastAsia"/>
          <w:color w:val="111827"/>
          <w:sz w:val="22"/>
          <w:lang w:eastAsia="zh-CN"/>
        </w:rPr>
        <w:t>：考生须网上报名，</w:t>
      </w:r>
      <w:r>
        <w:rPr>
          <w:rFonts w:ascii="微软雅黑" w:hAnsi="微软雅黑" w:eastAsia="微软雅黑" w:cs="微软雅黑" w:hint="eastAsia"/>
          <w:b/>
          <w:color w:val="111827"/>
          <w:sz w:val="22"/>
          <w:lang w:eastAsia="zh-CN"/>
        </w:rPr>
        <w:t>每名考生只能报考一所学校</w:t>
      </w:r>
      <w:r>
        <w:rPr>
          <w:rFonts w:ascii="微软雅黑" w:hAnsi="微软雅黑" w:eastAsia="微软雅黑" w:cs="微软雅黑" w:hint="eastAsia"/>
          <w:color w:val="111827"/>
          <w:sz w:val="22"/>
          <w:lang w:eastAsia="zh-CN"/>
        </w:rPr>
        <w:t>；录取实行自主招生。一经录取，不得再参加其他各类高级中等学校录取；未被录取的考生回原校，在全市统一志愿填报时间内填报志愿。</w:t>
      </w:r>
    </w:p>
    <w:p>
      <w:bookmarkStart w:id="16" w:name="_Toc_section_8"/>
      <w:bookmarkStart w:id="7" w:name="section-8"/>
      <w:pPr>
        <w:pStyle w:val="Heading2"/>
        <w:spacing w:line="312" w:lineRule="auto"/>
      </w:pPr>
      <w:bookmarkEnd w:id="7"/>
      <w:r>
        <w:rPr>
          <w:rFonts w:ascii="微软雅黑" w:hAnsi="微软雅黑" w:eastAsia="微软雅黑" w:cs="微软雅黑" w:hint="eastAsia"/>
          <w:b w:val="0"/>
          <w:color w:val="111827"/>
          <w:sz w:val="30"/>
          <w:lang w:eastAsia="zh-CN"/>
        </w:rPr>
        <w:t>八、中高职类学校说明</w:t>
      </w:r>
      <w:bookmarkEnd w:id="16"/>
    </w:p>
    <w:p>
      <w:pPr>
        <w:pStyle w:val="ListBullet"/>
        <w:spacing w:line="408" w:lineRule="auto" w:after="66"/>
      </w:pPr>
      <w:r>
        <w:rPr>
          <w:rFonts w:ascii="微软雅黑" w:hAnsi="微软雅黑" w:eastAsia="微软雅黑" w:cs="微软雅黑" w:hint="eastAsia"/>
          <w:b/>
          <w:color w:val="111827"/>
          <w:sz w:val="22"/>
          <w:lang w:eastAsia="zh-CN"/>
        </w:rPr>
        <w:t>中职学校综合高中班</w:t>
      </w:r>
      <w:r>
        <w:rPr>
          <w:rFonts w:ascii="微软雅黑" w:hAnsi="微软雅黑" w:eastAsia="微软雅黑" w:cs="微软雅黑" w:hint="eastAsia"/>
          <w:color w:val="111827"/>
          <w:sz w:val="22"/>
          <w:lang w:eastAsia="zh-CN"/>
        </w:rPr>
        <w:t>：学制三年，注册普通高中学籍；入学一年后有意愿者可转为中职学籍。随中高职类学校批次录取，报考须具有本市常住户口或蓝印户口。</w:t>
      </w:r>
    </w:p>
    <w:p>
      <w:pPr>
        <w:pStyle w:val="ListBullet"/>
        <w:spacing w:line="408" w:lineRule="auto" w:after="66"/>
      </w:pPr>
      <w:r>
        <w:rPr>
          <w:rFonts w:ascii="微软雅黑" w:hAnsi="微软雅黑" w:eastAsia="微软雅黑" w:cs="微软雅黑" w:hint="eastAsia"/>
          <w:b/>
          <w:color w:val="111827"/>
          <w:sz w:val="22"/>
          <w:lang w:eastAsia="zh-CN"/>
        </w:rPr>
        <w:t>五年制高职、中高职贯通培养五年一贯制、系统化人才培养项目、三二分段中职接高职</w:t>
      </w:r>
      <w:r>
        <w:rPr>
          <w:rFonts w:ascii="微软雅黑" w:hAnsi="微软雅黑" w:eastAsia="微软雅黑" w:cs="微软雅黑" w:hint="eastAsia"/>
          <w:color w:val="111827"/>
          <w:sz w:val="22"/>
          <w:lang w:eastAsia="zh-CN"/>
        </w:rPr>
        <w:t>：整体培养周期均为</w:t>
      </w:r>
      <w:r>
        <w:rPr>
          <w:rFonts w:ascii="PingFang SC" w:hAnsi="PingFang SC"/>
          <w:color w:val="111827"/>
          <w:sz w:val="22"/>
        </w:rPr>
        <w:t xml:space="preserve"> 5 </w:t>
      </w:r>
      <w:r>
        <w:rPr>
          <w:rFonts w:ascii="微软雅黑" w:hAnsi="微软雅黑" w:eastAsia="微软雅黑" w:cs="微软雅黑" w:hint="eastAsia"/>
          <w:color w:val="111827"/>
          <w:sz w:val="22"/>
          <w:lang w:eastAsia="zh-CN"/>
        </w:rPr>
        <w:t>年，前</w:t>
      </w:r>
      <w:r>
        <w:rPr>
          <w:rFonts w:ascii="PingFang SC" w:hAnsi="PingFang SC"/>
          <w:color w:val="111827"/>
          <w:sz w:val="22"/>
        </w:rPr>
        <w:t xml:space="preserve"> 3 </w:t>
      </w:r>
      <w:r>
        <w:rPr>
          <w:rFonts w:ascii="微软雅黑" w:hAnsi="微软雅黑" w:eastAsia="微软雅黑" w:cs="微软雅黑" w:hint="eastAsia"/>
          <w:color w:val="111827"/>
          <w:sz w:val="22"/>
          <w:lang w:eastAsia="zh-CN"/>
        </w:rPr>
        <w:t>年按中职教育管理、后</w:t>
      </w:r>
      <w:r>
        <w:rPr>
          <w:rFonts w:ascii="PingFang SC" w:hAnsi="PingFang SC"/>
          <w:color w:val="111827"/>
          <w:sz w:val="22"/>
        </w:rPr>
        <w:t xml:space="preserve"> 2 </w:t>
      </w:r>
      <w:r>
        <w:rPr>
          <w:rFonts w:ascii="微软雅黑" w:hAnsi="微软雅黑" w:eastAsia="微软雅黑" w:cs="微软雅黑" w:hint="eastAsia"/>
          <w:color w:val="111827"/>
          <w:sz w:val="22"/>
          <w:lang w:eastAsia="zh-CN"/>
        </w:rPr>
        <w:t>年按高职教育管理，达到毕业要求者颁发高职院校毕业证书；其中</w:t>
      </w:r>
      <w:r>
        <w:rPr>
          <w:rFonts w:ascii="PingFang SC" w:hAnsi="PingFang SC"/>
          <w:color w:val="111827"/>
          <w:sz w:val="22"/>
        </w:rPr>
        <w:t>“</w:t>
      </w:r>
      <w:r>
        <w:rPr>
          <w:rFonts w:ascii="微软雅黑" w:hAnsi="微软雅黑" w:eastAsia="微软雅黑" w:cs="微软雅黑" w:hint="eastAsia"/>
          <w:color w:val="111827"/>
          <w:sz w:val="22"/>
          <w:lang w:eastAsia="zh-CN"/>
        </w:rPr>
        <w:t>三二分段</w:t>
      </w:r>
      <w:r>
        <w:rPr>
          <w:rFonts w:ascii="PingFang SC" w:hAnsi="PingFang SC"/>
          <w:color w:val="111827"/>
          <w:sz w:val="22"/>
        </w:rPr>
        <w:t>”</w:t>
      </w:r>
      <w:r>
        <w:rPr>
          <w:rFonts w:ascii="微软雅黑" w:hAnsi="微软雅黑" w:eastAsia="微软雅黑" w:cs="微软雅黑" w:hint="eastAsia"/>
          <w:color w:val="111827"/>
          <w:sz w:val="22"/>
          <w:lang w:eastAsia="zh-CN"/>
        </w:rPr>
        <w:t>学生进入毕业年级后须参加全市统一考试。</w:t>
      </w:r>
    </w:p>
    <w:p>
      <w:pPr>
        <w:pStyle w:val="ListBullet"/>
        <w:spacing w:line="408" w:lineRule="auto" w:after="66"/>
      </w:pPr>
      <w:r>
        <w:rPr>
          <w:rFonts w:ascii="微软雅黑" w:hAnsi="微软雅黑" w:eastAsia="微软雅黑" w:cs="微软雅黑" w:hint="eastAsia"/>
          <w:b/>
          <w:color w:val="111827"/>
          <w:sz w:val="22"/>
          <w:lang w:eastAsia="zh-CN"/>
        </w:rPr>
        <w:t>投档方式</w:t>
      </w:r>
      <w:r>
        <w:rPr>
          <w:rFonts w:ascii="微软雅黑" w:hAnsi="微软雅黑" w:eastAsia="微软雅黑" w:cs="微软雅黑" w:hint="eastAsia"/>
          <w:color w:val="111827"/>
          <w:sz w:val="22"/>
          <w:lang w:eastAsia="zh-CN"/>
        </w:rPr>
        <w:t>：五年制高职、五年一贯制、系统化人才培养项目、三二分段按</w:t>
      </w:r>
      <w:r>
        <w:rPr>
          <w:rFonts w:ascii="微软雅黑" w:hAnsi="微软雅黑" w:eastAsia="微软雅黑" w:cs="微软雅黑" w:hint="eastAsia"/>
          <w:b/>
          <w:color w:val="111827"/>
          <w:sz w:val="22"/>
          <w:lang w:eastAsia="zh-CN"/>
        </w:rPr>
        <w:t>专业</w:t>
      </w:r>
      <w:r>
        <w:rPr>
          <w:rFonts w:ascii="微软雅黑" w:hAnsi="微软雅黑" w:eastAsia="微软雅黑" w:cs="微软雅黑" w:hint="eastAsia"/>
          <w:color w:val="111827"/>
          <w:sz w:val="22"/>
          <w:lang w:eastAsia="zh-CN"/>
        </w:rPr>
        <w:t>投档；综合高中班、中职普通类专业、技工院校中级</w:t>
      </w:r>
      <w:r>
        <w:rPr>
          <w:rFonts w:ascii="PingFang SC" w:hAnsi="PingFang SC"/>
          <w:color w:val="111827"/>
          <w:sz w:val="22"/>
        </w:rPr>
        <w:t>/</w:t>
      </w:r>
      <w:r>
        <w:rPr>
          <w:rFonts w:ascii="微软雅黑" w:hAnsi="微软雅黑" w:eastAsia="微软雅黑" w:cs="微软雅黑" w:hint="eastAsia"/>
          <w:color w:val="111827"/>
          <w:sz w:val="22"/>
          <w:lang w:eastAsia="zh-CN"/>
        </w:rPr>
        <w:t>高级工班按</w:t>
      </w:r>
      <w:r>
        <w:rPr>
          <w:rFonts w:ascii="微软雅黑" w:hAnsi="微软雅黑" w:eastAsia="微软雅黑" w:cs="微软雅黑" w:hint="eastAsia"/>
          <w:b/>
          <w:color w:val="111827"/>
          <w:sz w:val="22"/>
          <w:lang w:eastAsia="zh-CN"/>
        </w:rPr>
        <w:t>学校</w:t>
      </w:r>
      <w:r>
        <w:rPr>
          <w:rFonts w:ascii="微软雅黑" w:hAnsi="微软雅黑" w:eastAsia="微软雅黑" w:cs="微软雅黑" w:hint="eastAsia"/>
          <w:color w:val="111827"/>
          <w:sz w:val="22"/>
          <w:lang w:eastAsia="zh-CN"/>
        </w:rPr>
        <w:t>投档。</w:t>
      </w:r>
    </w:p>
    <w:p>
      <w:pPr>
        <w:pStyle w:val="ListBullet"/>
        <w:spacing w:line="408" w:lineRule="auto" w:after="66"/>
      </w:pPr>
      <w:r>
        <w:rPr>
          <w:rFonts w:ascii="微软雅黑" w:hAnsi="微软雅黑" w:eastAsia="微软雅黑" w:cs="微软雅黑" w:hint="eastAsia"/>
          <w:b/>
          <w:color w:val="111827"/>
          <w:sz w:val="22"/>
          <w:lang w:eastAsia="zh-CN"/>
        </w:rPr>
        <w:t>注册入学</w:t>
      </w:r>
      <w:r>
        <w:rPr>
          <w:rFonts w:ascii="微软雅黑" w:hAnsi="微软雅黑" w:eastAsia="微软雅黑" w:cs="微软雅黑" w:hint="eastAsia"/>
          <w:color w:val="111827"/>
          <w:sz w:val="22"/>
          <w:lang w:eastAsia="zh-CN"/>
        </w:rPr>
        <w:t>：本市及外省市往届初中毕业生可在当年</w:t>
      </w:r>
      <w:r>
        <w:rPr>
          <w:rFonts w:ascii="PingFang SC" w:hAnsi="PingFang SC"/>
          <w:color w:val="111827"/>
          <w:sz w:val="22"/>
        </w:rPr>
        <w:t xml:space="preserve"> 10 </w:t>
      </w:r>
      <w:r>
        <w:rPr>
          <w:rFonts w:ascii="微软雅黑" w:hAnsi="微软雅黑" w:eastAsia="微软雅黑" w:cs="微软雅黑" w:hint="eastAsia"/>
          <w:color w:val="111827"/>
          <w:sz w:val="22"/>
          <w:lang w:eastAsia="zh-CN"/>
        </w:rPr>
        <w:t>月底前持户口册和毕业证等到愿意就读的中等职业学校申请注册入学。</w:t>
      </w:r>
    </w:p>
    <w:p>
      <w:bookmarkStart w:id="17" w:name="_Toc_section_9"/>
      <w:bookmarkStart w:id="8" w:name="section-9"/>
      <w:pPr>
        <w:pStyle w:val="Heading2"/>
        <w:spacing w:line="312" w:lineRule="auto"/>
      </w:pPr>
      <w:bookmarkEnd w:id="8"/>
      <w:r>
        <w:rPr>
          <w:rFonts w:ascii="微软雅黑" w:hAnsi="微软雅黑" w:eastAsia="微软雅黑" w:cs="微软雅黑" w:hint="eastAsia"/>
          <w:b w:val="0"/>
          <w:color w:val="111827"/>
          <w:sz w:val="30"/>
          <w:lang w:eastAsia="zh-CN"/>
        </w:rPr>
        <w:t>九、其他</w:t>
      </w:r>
      <w:bookmarkEnd w:id="17"/>
    </w:p>
    <w:p>
      <w:pPr>
        <w:pStyle w:val="ListBullet"/>
        <w:spacing w:line="408" w:lineRule="auto" w:after="66"/>
      </w:pPr>
      <w:r>
        <w:rPr>
          <w:rFonts w:ascii="微软雅黑" w:hAnsi="微软雅黑" w:eastAsia="微软雅黑" w:cs="微软雅黑" w:hint="eastAsia"/>
          <w:b/>
          <w:color w:val="111827"/>
          <w:sz w:val="22"/>
          <w:lang w:eastAsia="zh-CN"/>
        </w:rPr>
        <w:t>入学手续</w:t>
      </w:r>
      <w:r>
        <w:rPr>
          <w:rFonts w:ascii="微软雅黑" w:hAnsi="微软雅黑" w:eastAsia="微软雅黑" w:cs="微软雅黑" w:hint="eastAsia"/>
          <w:color w:val="111827"/>
          <w:sz w:val="22"/>
          <w:lang w:eastAsia="zh-CN"/>
        </w:rPr>
        <w:t>：新生收到录取通知书及档案接转单后，凭接转单到初中毕业学校领取纸介质档案，持毕业证书、纸介质档案及学校规定的其他材料，按规定时间到校办理入学手续。</w:t>
      </w:r>
    </w:p>
    <w:p>
      <w:pPr>
        <w:pStyle w:val="ListBullet"/>
        <w:spacing w:line="408" w:lineRule="auto" w:after="66"/>
      </w:pPr>
      <w:r>
        <w:rPr>
          <w:rFonts w:ascii="微软雅黑" w:hAnsi="微软雅黑" w:eastAsia="微软雅黑" w:cs="微软雅黑" w:hint="eastAsia"/>
          <w:b/>
          <w:color w:val="111827"/>
          <w:sz w:val="22"/>
          <w:lang w:eastAsia="zh-CN"/>
        </w:rPr>
        <w:t>招生计划规模</w:t>
      </w:r>
      <w:r>
        <w:rPr>
          <w:rFonts w:ascii="微软雅黑" w:hAnsi="微软雅黑" w:eastAsia="微软雅黑" w:cs="微软雅黑" w:hint="eastAsia"/>
          <w:color w:val="111827"/>
          <w:sz w:val="22"/>
          <w:lang w:eastAsia="zh-CN"/>
        </w:rPr>
        <w:t>（</w:t>
      </w:r>
      <w:r>
        <w:rPr>
          <w:rFonts w:ascii="PingFang SC" w:hAnsi="PingFang SC"/>
          <w:color w:val="111827"/>
          <w:sz w:val="22"/>
        </w:rPr>
        <w:t xml:space="preserve">2024 </w:t>
      </w:r>
      <w:r>
        <w:rPr>
          <w:rFonts w:ascii="微软雅黑" w:hAnsi="微软雅黑" w:eastAsia="微软雅黑" w:cs="微软雅黑" w:hint="eastAsia"/>
          <w:color w:val="111827"/>
          <w:sz w:val="22"/>
          <w:lang w:eastAsia="zh-CN"/>
        </w:rPr>
        <w:t>年）：全市高中阶段教育学校本市生源招生计划共</w:t>
      </w:r>
      <w:r>
        <w:rPr>
          <w:rFonts w:ascii="PingFang SC" w:hAnsi="PingFang SC"/>
          <w:color w:val="111827"/>
          <w:sz w:val="22"/>
        </w:rPr>
        <w:t xml:space="preserve"> 125148 </w:t>
      </w:r>
      <w:r>
        <w:rPr>
          <w:rFonts w:ascii="微软雅黑" w:hAnsi="微软雅黑" w:eastAsia="微软雅黑" w:cs="微软雅黑" w:hint="eastAsia"/>
          <w:color w:val="111827"/>
          <w:sz w:val="22"/>
          <w:lang w:eastAsia="zh-CN"/>
        </w:rPr>
        <w:t>个，其中普通高中</w:t>
      </w:r>
      <w:r>
        <w:rPr>
          <w:rFonts w:ascii="PingFang SC" w:hAnsi="PingFang SC"/>
          <w:color w:val="111827"/>
          <w:sz w:val="22"/>
        </w:rPr>
        <w:t xml:space="preserve"> 86480 </w:t>
      </w:r>
      <w:r>
        <w:rPr>
          <w:rFonts w:ascii="微软雅黑" w:hAnsi="微软雅黑" w:eastAsia="微软雅黑" w:cs="微软雅黑" w:hint="eastAsia"/>
          <w:color w:val="111827"/>
          <w:sz w:val="22"/>
          <w:lang w:eastAsia="zh-CN"/>
        </w:rPr>
        <w:t>个、中高职类学校</w:t>
      </w:r>
      <w:r>
        <w:rPr>
          <w:rFonts w:ascii="PingFang SC" w:hAnsi="PingFang SC"/>
          <w:color w:val="111827"/>
          <w:sz w:val="22"/>
        </w:rPr>
        <w:t xml:space="preserve"> 38668 </w:t>
      </w:r>
      <w:r>
        <w:rPr>
          <w:rFonts w:ascii="微软雅黑" w:hAnsi="微软雅黑" w:eastAsia="微软雅黑" w:cs="微软雅黑" w:hint="eastAsia"/>
          <w:color w:val="111827"/>
          <w:sz w:val="22"/>
          <w:lang w:eastAsia="zh-CN"/>
        </w:rPr>
        <w:t>个。</w:t>
      </w:r>
    </w:p>
    <w:p>
      <w:pPr>
        <w:pStyle w:val="ListBullet"/>
        <w:spacing w:line="408" w:lineRule="auto" w:after="66"/>
      </w:pPr>
      <w:r>
        <w:rPr>
          <w:rFonts w:ascii="微软雅黑" w:hAnsi="微软雅黑" w:eastAsia="微软雅黑" w:cs="微软雅黑" w:hint="eastAsia"/>
          <w:b/>
          <w:color w:val="111827"/>
          <w:sz w:val="22"/>
          <w:lang w:eastAsia="zh-CN"/>
        </w:rPr>
        <w:t>咨询渠道</w:t>
      </w:r>
      <w:r>
        <w:rPr>
          <w:rFonts w:ascii="微软雅黑" w:hAnsi="微软雅黑" w:eastAsia="微软雅黑" w:cs="微软雅黑" w:hint="eastAsia"/>
          <w:color w:val="111827"/>
          <w:sz w:val="22"/>
          <w:lang w:eastAsia="zh-CN"/>
        </w:rPr>
        <w:t>：各初中学校、各招生学校、各区中招办、招考资讯网（</w:t>
      </w:r>
      <w:r>
        <w:rPr>
          <w:rFonts w:ascii="PingFang SC" w:hAnsi="PingFang SC"/>
          <w:color w:val="111827"/>
          <w:sz w:val="22"/>
        </w:rPr>
        <w:t>www.zhaokao.net</w:t>
      </w:r>
      <w:r>
        <w:rPr>
          <w:rFonts w:ascii="微软雅黑" w:hAnsi="微软雅黑" w:eastAsia="微软雅黑" w:cs="微软雅黑" w:hint="eastAsia"/>
          <w:color w:val="111827"/>
          <w:sz w:val="22"/>
          <w:lang w:eastAsia="zh-CN"/>
        </w:rPr>
        <w:t>）及</w:t>
      </w:r>
      <w:r>
        <w:rPr>
          <w:rFonts w:ascii="PingFang SC" w:hAnsi="PingFang SC"/>
          <w:color w:val="111827"/>
          <w:sz w:val="22"/>
        </w:rPr>
        <w:t>“</w:t>
      </w:r>
      <w:r>
        <w:rPr>
          <w:rFonts w:ascii="微软雅黑" w:hAnsi="微软雅黑" w:eastAsia="微软雅黑" w:cs="微软雅黑" w:hint="eastAsia"/>
          <w:color w:val="111827"/>
          <w:sz w:val="22"/>
          <w:lang w:eastAsia="zh-CN"/>
        </w:rPr>
        <w:t>天津市教育招生考试院</w:t>
      </w:r>
      <w:r>
        <w:rPr>
          <w:rFonts w:ascii="PingFang SC" w:hAnsi="PingFang SC"/>
          <w:color w:val="111827"/>
          <w:sz w:val="22"/>
        </w:rPr>
        <w:t>”</w:t>
      </w:r>
      <w:r>
        <w:rPr>
          <w:rFonts w:ascii="微软雅黑" w:hAnsi="微软雅黑" w:eastAsia="微软雅黑" w:cs="微软雅黑" w:hint="eastAsia"/>
          <w:color w:val="111827"/>
          <w:sz w:val="22"/>
          <w:lang w:eastAsia="zh-CN"/>
        </w:rPr>
        <w:t>微信公众号；录取期间市中招办及各区中招办均设立咨询电话。</w:t>
      </w:r>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after="120"/>
    </w:pPr>
    <w:rPr>
      <w:rFonts w:ascii="PingFang SC" w:hAnsi="PingFang SC" w:eastAsia="PingFang S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65" w:lineRule="auto"/>
      <w:outlineLvl w:val="0"/>
    </w:pPr>
    <w:rPr>
      <w:rFonts w:ascii="PingFang SC" w:hAnsi="PingFang SC" w:eastAsia="PingFang SC"/>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480" w:after="120" w:line="265" w:lineRule="auto"/>
      <w:outlineLvl w:val="1"/>
    </w:pPr>
    <w:rPr>
      <w:rFonts w:ascii="PingFang SC" w:hAnsi="PingFang SC" w:eastAsia="PingFang SC"/>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240" w:after="120" w:line="265" w:lineRule="auto"/>
      <w:outlineLvl w:val="2"/>
    </w:pPr>
    <w:rPr>
      <w:rFonts w:ascii="PingFang SC" w:hAnsi="PingFang SC" w:eastAsia="PingFang SC"/>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