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line="259" w:lineRule="auto"/>
        <w:jc w:val="left"/>
      </w:pPr>
      <w:r>
        <w:rPr>
          <w:rFonts w:ascii="Aptos Display" w:hAnsi="Aptos Display"/>
          <w:b/>
          <w:color w:val="000000"/>
          <w:sz w:val="48"/>
        </w:rPr>
        <w:t>Sessioneer API and Integration Test Report</w:t>
      </w:r>
    </w:p>
    <w:p>
      <w:pPr>
        <w:spacing w:after="280" w:line="259" w:lineRule="auto"/>
      </w:pPr>
      <w:r>
        <w:rPr>
          <w:rFonts w:ascii="Aptos" w:hAnsi="Aptos"/>
          <w:b w:val="0"/>
          <w:color w:val="52657A"/>
          <w:sz w:val="22"/>
        </w:rPr>
        <w:t>Automated backend verification for the Sessioneer platform</w:t>
      </w:r>
    </w:p>
    <w:p>
      <w:pPr>
        <w:spacing w:after="100" w:line="259" w:lineRule="auto"/>
      </w:pPr>
      <w:r>
        <w:rPr>
          <w:rFonts w:ascii="Aptos" w:hAnsi="Aptos"/>
          <w:b w:val="0"/>
          <w:color w:val="1F2937"/>
          <w:sz w:val="21"/>
        </w:rPr>
        <w:t>Test date: 22 September 2026</w:t>
      </w:r>
    </w:p>
    <w:p>
      <w:pPr>
        <w:spacing w:after="100" w:line="259" w:lineRule="auto"/>
      </w:pPr>
      <w:r>
        <w:rPr>
          <w:rFonts w:ascii="Aptos" w:hAnsi="Aptos"/>
          <w:b w:val="0"/>
          <w:color w:val="1F2937"/>
          <w:sz w:val="21"/>
        </w:rPr>
        <w:t>Test command: npm run test:api and npm run test:api:coverage</w:t>
      </w:r>
    </w:p>
    <w:p>
      <w:pPr>
        <w:pStyle w:val="Heading1"/>
        <w:spacing w:after="120" w:line="259" w:lineRule="auto"/>
      </w:pPr>
      <w:r>
        <w:rPr>
          <w:rFonts w:ascii="Aptos" w:hAnsi="Aptos"/>
          <w:b/>
          <w:color w:val="000000"/>
          <w:sz w:val="30"/>
        </w:rPr>
        <w:t>Executive Summary</w:t>
      </w:r>
    </w:p>
    <w:p>
      <w:pPr>
        <w:spacing w:after="100" w:line="259" w:lineRule="auto"/>
      </w:pPr>
      <w:r>
        <w:rPr>
          <w:rFonts w:ascii="Aptos" w:hAnsi="Aptos"/>
          <w:b w:val="0"/>
          <w:color w:val="1F2937"/>
          <w:sz w:val="21"/>
        </w:rPr>
        <w:t>The Sessioneer backend now has a repeatable automated API and integration test suite covering authentication, role-based access, administration, unit memberships, session assignment, tutor requests, and cover workflows. The verified run completed with 49 tests passed and 0 tests failed. The tests ran against an isolated local PostgreSQL database and did not use the production Render or Supabase database.</w:t>
      </w:r>
    </w:p>
    <w:p>
      <w:pPr>
        <w:spacing w:after="100" w:line="259" w:lineRule="auto"/>
      </w:pPr>
      <w:r>
        <w:rPr>
          <w:rFonts w:ascii="Aptos" w:hAnsi="Aptos"/>
          <w:b w:val="0"/>
          <w:color w:val="1F2937"/>
          <w:sz w:val="21"/>
        </w:rPr>
        <w:t>The result provides a reliable regression baseline for backend changes. It confirms that the selected workflows currently behave as expected under the seeded test data. It does not mean that every backend route or frontend workflow has been tested; the coverage section identifies the remaining scope.</w:t>
      </w:r>
    </w:p>
    <w:p>
      <w:pPr>
        <w:pStyle w:val="Heading1"/>
        <w:spacing w:after="120" w:line="259" w:lineRule="auto"/>
      </w:pPr>
      <w:r>
        <w:rPr>
          <w:rFonts w:ascii="Aptos" w:hAnsi="Aptos"/>
          <w:b/>
          <w:color w:val="000000"/>
          <w:sz w:val="30"/>
        </w:rPr>
        <w:t>Test Result</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94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jc w:val="left"/>
            </w:pPr>
            <w:r>
              <w:rPr>
                <w:rFonts w:ascii="Aptos" w:hAnsi="Aptos"/>
                <w:b/>
                <w:color w:val="FFFFFF"/>
                <w:sz w:val="19"/>
              </w:rPr>
              <w:t>Measure</w:t>
            </w:r>
          </w:p>
        </w:tc>
        <w:tc>
          <w:tcPr>
            <w:tcW w:type="dxa" w:w="194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jc w:val="left"/>
            </w:pPr>
            <w:r>
              <w:rPr>
                <w:rFonts w:ascii="Aptos" w:hAnsi="Aptos"/>
                <w:b/>
                <w:color w:val="FFFFFF"/>
                <w:sz w:val="19"/>
              </w:rPr>
              <w:t>Result</w:t>
            </w:r>
          </w:p>
        </w:tc>
        <w:tc>
          <w:tcPr>
            <w:tcW w:type="dxa" w:w="684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jc w:val="left"/>
            </w:pPr>
            <w:r>
              <w:rPr>
                <w:rFonts w:ascii="Aptos" w:hAnsi="Aptos"/>
                <w:b/>
                <w:color w:val="FFFFFF"/>
                <w:sz w:val="19"/>
              </w:rPr>
              <w:t>Interpretation</w:t>
            </w:r>
          </w:p>
        </w:tc>
      </w:tr>
      <w:t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Test suites</w:t>
            </w:r>
          </w:p>
        </w:tc>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t>2 passed, 2 total</w:t>
            </w:r>
          </w:p>
        </w:tc>
        <w:tc>
          <w:tcPr>
            <w:tcW w:type="dxa" w:w="68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The complete API and integration suite completed successfully.</w:t>
            </w:r>
          </w:p>
        </w:tc>
      </w:tr>
      <w:tr>
        <w:tc>
          <w:tcPr>
            <w:tcW w:type="dxa" w:w="1944"/>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Tests</w:t>
            </w:r>
          </w:p>
        </w:tc>
        <w:tc>
          <w:tcPr>
            <w:tcW w:type="dxa" w:w="1944"/>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t>49 passed, 49 total</w:t>
            </w:r>
          </w:p>
        </w:tc>
        <w:tc>
          <w:tcPr>
            <w:tcW w:type="dxa" w:w="684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All defined automated checks passed.</w:t>
            </w:r>
          </w:p>
        </w:tc>
      </w:tr>
      <w:t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Execution time</w:t>
            </w:r>
          </w:p>
        </w:tc>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Approximately 8 seconds</w:t>
            </w:r>
          </w:p>
        </w:tc>
        <w:tc>
          <w:tcPr>
            <w:tcW w:type="dxa" w:w="68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Fast enough for local regression checks.</w:t>
            </w:r>
          </w:p>
        </w:tc>
      </w:tr>
      <w:tr>
        <w:tc>
          <w:tcPr>
            <w:tcW w:type="dxa" w:w="1944"/>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Database</w:t>
            </w:r>
          </w:p>
        </w:tc>
        <w:tc>
          <w:tcPr>
            <w:tcW w:type="dxa" w:w="1944"/>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Isolated PostgreSQL test database</w:t>
            </w:r>
          </w:p>
        </w:tc>
        <w:tc>
          <w:tcPr>
            <w:tcW w:type="dxa" w:w="684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Production data was not used.</w:t>
            </w:r>
          </w:p>
        </w:tc>
      </w:tr>
      <w:t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Email delivery</w:t>
            </w:r>
          </w:p>
        </w:tc>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Mocked</w:t>
            </w:r>
          </w:p>
        </w:tc>
        <w:tc>
          <w:tcPr>
            <w:tcW w:type="dxa" w:w="68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Tests verify notification triggers without sending real emails.</w:t>
            </w:r>
          </w:p>
        </w:tc>
      </w:tr>
    </w:tbl>
    <w:p>
      <w:pPr>
        <w:spacing w:after="20"/>
      </w:pPr>
    </w:p>
    <w:p>
      <w:pPr>
        <w:pStyle w:val="Heading1"/>
        <w:pageBreakBefore/>
        <w:spacing w:after="120" w:line="259" w:lineRule="auto"/>
      </w:pPr>
      <w:r>
        <w:rPr>
          <w:rFonts w:ascii="Aptos" w:hAnsi="Aptos"/>
          <w:b/>
          <w:color w:val="000000"/>
          <w:sz w:val="30"/>
        </w:rPr>
        <w:t>Test Environment</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376"/>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jc w:val="left"/>
            </w:pPr>
            <w:r>
              <w:rPr>
                <w:rFonts w:ascii="Aptos" w:hAnsi="Aptos"/>
                <w:b/>
                <w:color w:val="FFFFFF"/>
                <w:sz w:val="19"/>
              </w:rPr>
              <w:t>Component</w:t>
            </w:r>
          </w:p>
        </w:tc>
        <w:tc>
          <w:tcPr>
            <w:tcW w:type="dxa" w:w="835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jc w:val="left"/>
            </w:pPr>
            <w:r>
              <w:rPr>
                <w:rFonts w:ascii="Aptos" w:hAnsi="Aptos"/>
                <w:b/>
                <w:color w:val="FFFFFF"/>
                <w:sz w:val="19"/>
              </w:rPr>
              <w:t>Configuration</w:t>
            </w:r>
          </w:p>
        </w:tc>
      </w:tr>
      <w:t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Runtime</w:t>
            </w:r>
          </w:p>
        </w:tc>
        <w:tc>
          <w:tcPr>
            <w:tcW w:type="dxa" w:w="83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Node.js backend using CommonJS modules</w:t>
            </w:r>
          </w:p>
        </w:tc>
      </w:tr>
      <w:tr>
        <w:tc>
          <w:tcPr>
            <w:tcW w:type="dxa" w:w="2376"/>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Test runner</w:t>
            </w:r>
          </w:p>
        </w:tc>
        <w:tc>
          <w:tcPr>
            <w:tcW w:type="dxa" w:w="8352"/>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Jest 30 with tests executed serially using --runInBand</w:t>
            </w:r>
          </w:p>
        </w:tc>
      </w:tr>
      <w:t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HTTP testing</w:t>
            </w:r>
          </w:p>
        </w:tc>
        <w:tc>
          <w:tcPr>
            <w:tcW w:type="dxa" w:w="83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Supertest against the exported Express application</w:t>
            </w:r>
          </w:p>
        </w:tc>
      </w:tr>
      <w:tr>
        <w:tc>
          <w:tcPr>
            <w:tcW w:type="dxa" w:w="2376"/>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Database</w:t>
            </w:r>
          </w:p>
        </w:tc>
        <w:tc>
          <w:tcPr>
            <w:tcW w:type="dxa" w:w="8352"/>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PostgreSQL running locally in Docker on port 5433</w:t>
            </w:r>
          </w:p>
        </w:tc>
      </w:tr>
      <w:t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Database safety</w:t>
            </w:r>
          </w:p>
        </w:tc>
        <w:tc>
          <w:tcPr>
            <w:tcW w:type="dxa" w:w="83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TEST_DATABASE_URL is required and must differ from DATABASE_URL</w:t>
            </w:r>
          </w:p>
        </w:tc>
      </w:tr>
      <w:tr>
        <w:tc>
          <w:tcPr>
            <w:tcW w:type="dxa" w:w="2376"/>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Email safety</w:t>
            </w:r>
          </w:p>
        </w:tc>
        <w:tc>
          <w:tcPr>
            <w:tcW w:type="dxa" w:w="8352"/>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backend/utils/email is mocked during tests</w:t>
            </w:r>
          </w:p>
        </w:tc>
      </w:tr>
      <w:t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Reset behavior</w:t>
            </w:r>
          </w:p>
        </w:tc>
        <w:tc>
          <w:tcPr>
            <w:tcW w:type="dxa" w:w="83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The test schema is recreated and seeded before the suite runs</w:t>
            </w:r>
          </w:p>
        </w:tc>
      </w:tr>
    </w:tbl>
    <w:p>
      <w:pPr>
        <w:spacing w:after="20"/>
      </w:pPr>
    </w:p>
    <w:p>
      <w:pPr>
        <w:pStyle w:val="Heading1"/>
        <w:spacing w:after="120" w:line="259" w:lineRule="auto"/>
      </w:pPr>
      <w:r>
        <w:rPr>
          <w:rFonts w:ascii="Aptos" w:hAnsi="Aptos"/>
          <w:b/>
          <w:color w:val="000000"/>
          <w:sz w:val="30"/>
        </w:rPr>
        <w:t>API Test Coverage</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64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jc w:val="left"/>
            </w:pPr>
            <w:r>
              <w:rPr>
                <w:rFonts w:ascii="Aptos" w:hAnsi="Aptos"/>
                <w:b/>
                <w:color w:val="FFFFFF"/>
                <w:sz w:val="19"/>
              </w:rPr>
              <w:t>No.</w:t>
            </w:r>
          </w:p>
        </w:tc>
        <w:tc>
          <w:tcPr>
            <w:tcW w:type="dxa" w:w="259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jc w:val="left"/>
            </w:pPr>
            <w:r>
              <w:rPr>
                <w:rFonts w:ascii="Aptos" w:hAnsi="Aptos"/>
                <w:b/>
                <w:color w:val="FFFFFF"/>
                <w:sz w:val="19"/>
              </w:rPr>
              <w:t>API behavior</w:t>
            </w:r>
          </w:p>
        </w:tc>
        <w:tc>
          <w:tcPr>
            <w:tcW w:type="dxa" w:w="748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jc w:val="left"/>
            </w:pPr>
            <w:r>
              <w:rPr>
                <w:rFonts w:ascii="Aptos" w:hAnsi="Aptos"/>
                <w:b/>
                <w:color w:val="FFFFFF"/>
                <w:sz w:val="19"/>
              </w:rPr>
              <w:t>Verified behavior</w:t>
            </w:r>
          </w:p>
        </w:tc>
      </w:tr>
      <w:tr>
        <w:tc>
          <w:tcPr>
            <w:tcW w:type="dxa" w:w="6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1</w:t>
            </w:r>
          </w:p>
        </w:tc>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Health check</w:t>
            </w:r>
          </w:p>
        </w:tc>
        <w:tc>
          <w:tcPr>
            <w:tcW w:type="dxa" w:w="74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Returns backend and database status.</w:t>
            </w:r>
          </w:p>
        </w:tc>
      </w:tr>
      <w:tr>
        <w:tc>
          <w:tcPr>
            <w:tcW w:type="dxa" w:w="648"/>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2</w:t>
            </w:r>
          </w:p>
        </w:tc>
        <w:tc>
          <w:tcPr>
            <w:tcW w:type="dxa" w:w="2592"/>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Valid login</w:t>
            </w:r>
          </w:p>
        </w:tc>
        <w:tc>
          <w:tcPr>
            <w:tcW w:type="dxa" w:w="7488"/>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Returns a JWT and the authenticated user.</w:t>
            </w:r>
          </w:p>
        </w:tc>
      </w:tr>
      <w:tr>
        <w:tc>
          <w:tcPr>
            <w:tcW w:type="dxa" w:w="6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3</w:t>
            </w:r>
          </w:p>
        </w:tc>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Incorrect password</w:t>
            </w:r>
          </w:p>
        </w:tc>
        <w:tc>
          <w:tcPr>
            <w:tcW w:type="dxa" w:w="74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Rejects invalid credentials with an unauthorized response.</w:t>
            </w:r>
          </w:p>
        </w:tc>
      </w:tr>
      <w:tr>
        <w:tc>
          <w:tcPr>
            <w:tcW w:type="dxa" w:w="648"/>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4</w:t>
            </w:r>
          </w:p>
        </w:tc>
        <w:tc>
          <w:tcPr>
            <w:tcW w:type="dxa" w:w="2592"/>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Unknown email</w:t>
            </w:r>
          </w:p>
        </w:tc>
        <w:tc>
          <w:tcPr>
            <w:tcW w:type="dxa" w:w="7488"/>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Rejects accounts that do not exist.</w:t>
            </w:r>
          </w:p>
        </w:tc>
      </w:tr>
      <w:tr>
        <w:tc>
          <w:tcPr>
            <w:tcW w:type="dxa" w:w="6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5</w:t>
            </w:r>
          </w:p>
        </w:tc>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Missing credentials</w:t>
            </w:r>
          </w:p>
        </w:tc>
        <w:tc>
          <w:tcPr>
            <w:tcW w:type="dxa" w:w="74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Rejects incomplete login requests.</w:t>
            </w:r>
          </w:p>
        </w:tc>
      </w:tr>
      <w:tr>
        <w:tc>
          <w:tcPr>
            <w:tcW w:type="dxa" w:w="648"/>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6</w:t>
            </w:r>
          </w:p>
        </w:tc>
        <w:tc>
          <w:tcPr>
            <w:tcW w:type="dxa" w:w="2592"/>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Missing token</w:t>
            </w:r>
          </w:p>
        </w:tc>
        <w:tc>
          <w:tcPr>
            <w:tcW w:type="dxa" w:w="7488"/>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Rejects protected routes without authentication.</w:t>
            </w:r>
          </w:p>
        </w:tc>
      </w:tr>
      <w:tr>
        <w:tc>
          <w:tcPr>
            <w:tcW w:type="dxa" w:w="6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7</w:t>
            </w:r>
          </w:p>
        </w:tc>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Invalid token</w:t>
            </w:r>
          </w:p>
        </w:tc>
        <w:tc>
          <w:tcPr>
            <w:tcW w:type="dxa" w:w="74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Rejects malformed or invalid JWTs.</w:t>
            </w:r>
          </w:p>
        </w:tc>
      </w:tr>
      <w:tr>
        <w:tc>
          <w:tcPr>
            <w:tcW w:type="dxa" w:w="648"/>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8</w:t>
            </w:r>
          </w:p>
        </w:tc>
        <w:tc>
          <w:tcPr>
            <w:tcW w:type="dxa" w:w="2592"/>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Pending account</w:t>
            </w:r>
          </w:p>
        </w:tc>
        <w:tc>
          <w:tcPr>
            <w:tcW w:type="dxa" w:w="7488"/>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Prevents pending accounts from using protected routes.</w:t>
            </w:r>
          </w:p>
        </w:tc>
      </w:tr>
      <w:tr>
        <w:tc>
          <w:tcPr>
            <w:tcW w:type="dxa" w:w="6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9</w:t>
            </w:r>
          </w:p>
        </w:tc>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Disabled account</w:t>
            </w:r>
          </w:p>
        </w:tc>
        <w:tc>
          <w:tcPr>
            <w:tcW w:type="dxa" w:w="74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Prevents disabled accounts from using protected routes.</w:t>
            </w:r>
          </w:p>
        </w:tc>
      </w:tr>
      <w:tr>
        <w:tc>
          <w:tcPr>
            <w:tcW w:type="dxa" w:w="648"/>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10</w:t>
            </w:r>
          </w:p>
        </w:tc>
        <w:tc>
          <w:tcPr>
            <w:tcW w:type="dxa" w:w="2592"/>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Tutor admin restriction</w:t>
            </w:r>
          </w:p>
        </w:tc>
        <w:tc>
          <w:tcPr>
            <w:tcW w:type="dxa" w:w="7488"/>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Prevents a tutor from using admin user APIs.</w:t>
            </w:r>
          </w:p>
        </w:tc>
      </w:tr>
      <w:tr>
        <w:tc>
          <w:tcPr>
            <w:tcW w:type="dxa" w:w="6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11</w:t>
            </w:r>
          </w:p>
        </w:tc>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Admin authorization</w:t>
            </w:r>
          </w:p>
        </w:tc>
        <w:tc>
          <w:tcPr>
            <w:tcW w:type="dxa" w:w="74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Allows an administrator to use the admin user API.</w:t>
            </w:r>
          </w:p>
        </w:tc>
      </w:tr>
      <w:tr>
        <w:tc>
          <w:tcPr>
            <w:tcW w:type="dxa" w:w="648"/>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12</w:t>
            </w:r>
          </w:p>
        </w:tc>
        <w:tc>
          <w:tcPr>
            <w:tcW w:type="dxa" w:w="2592"/>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Coordinator unit access</w:t>
            </w:r>
          </w:p>
        </w:tc>
        <w:tc>
          <w:tcPr>
            <w:tcW w:type="dxa" w:w="7488"/>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Allows a coordinator to access sessions for their own unit.</w:t>
            </w:r>
          </w:p>
        </w:tc>
      </w:tr>
      <w:tr>
        <w:tc>
          <w:tcPr>
            <w:tcW w:type="dxa" w:w="6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13</w:t>
            </w:r>
          </w:p>
        </w:tc>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Profile access</w:t>
            </w:r>
          </w:p>
        </w:tc>
        <w:tc>
          <w:tcPr>
            <w:tcW w:type="dxa" w:w="74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Allows an authenticated user to load their profile.</w:t>
            </w:r>
          </w:p>
        </w:tc>
      </w:tr>
    </w:tbl>
    <w:p>
      <w:pPr>
        <w:spacing w:after="20"/>
      </w:pPr>
    </w:p>
    <w:p>
      <w:pPr>
        <w:pStyle w:val="Heading1"/>
        <w:spacing w:after="120" w:line="259" w:lineRule="auto"/>
      </w:pPr>
      <w:r>
        <w:rPr>
          <w:rFonts w:ascii="Aptos" w:hAnsi="Aptos"/>
          <w:b/>
          <w:color w:val="000000"/>
          <w:sz w:val="30"/>
        </w:rPr>
        <w:t>Integration Test Coverage</w:t>
      </w:r>
    </w:p>
    <w:tbl>
      <w:tblPr>
        <w:tblW w:type="auto" w:w="0"/>
        <w:jc w:val="center"/>
        <w:tblLayout w:type="fixed"/>
        <w:tblLook w:firstColumn="1" w:firstRow="1" w:lastColumn="0" w:lastRow="0" w:noHBand="0" w:noVBand="1" w:val="04A0"/>
      </w:tblPr>
      <w:tblGrid>
        <w:gridCol w:w="720"/>
        <w:gridCol w:w="2880"/>
        <w:gridCol w:w="5760"/>
      </w:tblGrid>
      <w:tr>
        <w:trPr>
          <w:tblHeader w:val="true"/>
        </w:trPr>
        <w:tc>
          <w:tcPr>
            <w:tcW w:type="dxa" w:w="72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jc w:val="left"/>
            </w:pPr>
            <w:r>
              <w:rPr>
                <w:rFonts w:ascii="Aptos" w:hAnsi="Aptos"/>
                <w:b/>
                <w:color w:val="FFFFFF"/>
                <w:sz w:val="19"/>
              </w:rPr>
              <w:t>No.</w:t>
            </w:r>
          </w:p>
        </w:tc>
        <w:tc>
          <w:tcPr>
            <w:tcW w:type="dxa" w:w="288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jc w:val="left"/>
            </w:pPr>
            <w:r>
              <w:rPr>
                <w:rFonts w:ascii="Aptos" w:hAnsi="Aptos"/>
                <w:b/>
                <w:color w:val="FFFFFF"/>
                <w:sz w:val="19"/>
              </w:rPr>
              <w:t>Workflow</w:t>
            </w:r>
          </w:p>
        </w:tc>
        <w:tc>
          <w:tcPr>
            <w:tcW w:type="dxa" w:w="576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jc w:val="left"/>
            </w:pPr>
            <w:r>
              <w:rPr>
                <w:rFonts w:ascii="Aptos" w:hAnsi="Aptos"/>
                <w:b/>
                <w:color w:val="FFFFFF"/>
                <w:sz w:val="19"/>
              </w:rPr>
              <w:t>Verified behavior</w:t>
            </w:r>
          </w:p>
        </w:tc>
      </w:tr>
      <w:tr>
        <w:tc>
          <w:tcPr>
            <w:tcW w:type="dxa" w:w="72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color w:val="1F2937"/>
                <w:sz w:val="18"/>
              </w:rPr>
              <w:t>1</w:t>
            </w:r>
          </w:p>
        </w:tc>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Create user</w:t>
            </w:r>
          </w:p>
        </w:tc>
        <w:tc>
          <w:tcPr>
            <w:tcW w:type="dxa" w:w="57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Admin creates a user and the record is stored in the database.</w:t>
            </w:r>
          </w:p>
        </w:tc>
      </w:tr>
      <w:tr>
        <w:tc>
          <w:tcPr>
            <w:tcW w:type="dxa" w:w="7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color w:val="1F2937"/>
                <w:sz w:val="18"/>
              </w:rPr>
              <w:t>2</w:t>
            </w:r>
          </w:p>
        </w:tc>
        <w:tc>
          <w:tcPr>
            <w:tcW w:type="dxa" w:w="288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Update account status</w:t>
            </w:r>
          </w:p>
        </w:tc>
        <w:tc>
          <w:tcPr>
            <w:tcW w:type="dxa" w:w="576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Admin changes a user account status.</w:t>
            </w:r>
          </w:p>
        </w:tc>
      </w:tr>
      <w:tr>
        <w:tc>
          <w:tcPr>
            <w:tcW w:type="dxa" w:w="72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color w:val="1F2937"/>
                <w:sz w:val="18"/>
              </w:rPr>
              <w:t>3</w:t>
            </w:r>
          </w:p>
        </w:tc>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Password reset link</w:t>
            </w:r>
          </w:p>
        </w:tc>
        <w:tc>
          <w:tcPr>
            <w:tcW w:type="dxa" w:w="57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Admin creates a password reset token without sending real email.</w:t>
            </w:r>
          </w:p>
        </w:tc>
      </w:tr>
      <w:tr>
        <w:tc>
          <w:tcPr>
            <w:tcW w:type="dxa" w:w="7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color w:val="1F2937"/>
                <w:sz w:val="18"/>
              </w:rPr>
              <w:t>4</w:t>
            </w:r>
          </w:p>
        </w:tc>
        <w:tc>
          <w:tcPr>
            <w:tcW w:type="dxa" w:w="288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Add tutor access</w:t>
            </w:r>
          </w:p>
        </w:tc>
        <w:tc>
          <w:tcPr>
            <w:tcW w:type="dxa" w:w="576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Admin adds unit access and creates the membership record.</w:t>
            </w:r>
          </w:p>
        </w:tc>
      </w:tr>
      <w:tr>
        <w:tc>
          <w:tcPr>
            <w:tcW w:type="dxa" w:w="72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color w:val="1F2937"/>
                <w:sz w:val="18"/>
              </w:rPr>
              <w:t>5</w:t>
            </w:r>
          </w:p>
        </w:tc>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Add Super Tutor access</w:t>
            </w:r>
          </w:p>
        </w:tc>
        <w:tc>
          <w:tcPr>
            <w:tcW w:type="dxa" w:w="57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Admin changes tutor access to Super Tutor without duplicate tutor-tier roles.</w:t>
            </w:r>
          </w:p>
        </w:tc>
      </w:tr>
      <w:tr>
        <w:tc>
          <w:tcPr>
            <w:tcW w:type="dxa" w:w="7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color w:val="1F2937"/>
                <w:sz w:val="18"/>
              </w:rPr>
              <w:t>6</w:t>
            </w:r>
          </w:p>
        </w:tc>
        <w:tc>
          <w:tcPr>
            <w:tcW w:type="dxa" w:w="288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Administrator restriction</w:t>
            </w:r>
          </w:p>
        </w:tc>
        <w:tc>
          <w:tcPr>
            <w:tcW w:type="dxa" w:w="576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An administrator account cannot be added as teaching staff.</w:t>
            </w:r>
          </w:p>
        </w:tc>
      </w:tr>
      <w:tr>
        <w:tc>
          <w:tcPr>
            <w:tcW w:type="dxa" w:w="72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color w:val="1F2937"/>
                <w:sz w:val="18"/>
              </w:rPr>
              <w:t>7</w:t>
            </w:r>
          </w:p>
        </w:tc>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Coordinator restriction</w:t>
            </w:r>
          </w:p>
        </w:tc>
        <w:tc>
          <w:tcPr>
            <w:tcW w:type="dxa" w:w="57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A coordinator cannot also be added as a tutor for the same unit.</w:t>
            </w:r>
          </w:p>
        </w:tc>
      </w:tr>
      <w:tr>
        <w:tc>
          <w:tcPr>
            <w:tcW w:type="dxa" w:w="7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color w:val="1F2937"/>
                <w:sz w:val="18"/>
              </w:rPr>
              <w:t>8</w:t>
            </w:r>
          </w:p>
        </w:tc>
        <w:tc>
          <w:tcPr>
            <w:tcW w:type="dxa" w:w="288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Tutor list</w:t>
            </w:r>
          </w:p>
        </w:tc>
        <w:tc>
          <w:tcPr>
            <w:tcW w:type="dxa" w:w="576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The admin tutor list includes Tutor and Super Tutor memberships.</w:t>
            </w:r>
          </w:p>
        </w:tc>
      </w:tr>
      <w:tr>
        <w:tc>
          <w:tcPr>
            <w:tcW w:type="dxa" w:w="72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color w:val="1F2937"/>
                <w:sz w:val="18"/>
              </w:rPr>
              <w:t>9</w:t>
            </w:r>
          </w:p>
        </w:tc>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Update tutor role</w:t>
            </w:r>
          </w:p>
        </w:tc>
        <w:tc>
          <w:tcPr>
            <w:tcW w:type="dxa" w:w="57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Admin changes unit access from Tutor to Super Tutor.</w:t>
            </w:r>
          </w:p>
        </w:tc>
      </w:tr>
      <w:tr>
        <w:tc>
          <w:tcPr>
            <w:tcW w:type="dxa" w:w="7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color w:val="1F2937"/>
                <w:sz w:val="18"/>
              </w:rPr>
              <w:t>10</w:t>
            </w:r>
          </w:p>
        </w:tc>
        <w:tc>
          <w:tcPr>
            <w:tcW w:type="dxa" w:w="288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Remove tutor</w:t>
            </w:r>
          </w:p>
        </w:tc>
        <w:tc>
          <w:tcPr>
            <w:tcW w:type="dxa" w:w="576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Admin removes unit tutor access.</w:t>
            </w:r>
          </w:p>
        </w:tc>
      </w:tr>
      <w:tr>
        <w:tc>
          <w:tcPr>
            <w:tcW w:type="dxa" w:w="72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color w:val="1F2937"/>
                <w:sz w:val="18"/>
              </w:rPr>
              <w:t>11</w:t>
            </w:r>
          </w:p>
        </w:tc>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Tutorial assignment</w:t>
            </w:r>
          </w:p>
        </w:tc>
        <w:tc>
          <w:tcPr>
            <w:tcW w:type="dxa" w:w="57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A coordinator assigns a normal tutor to a tutorial session.</w:t>
            </w:r>
          </w:p>
        </w:tc>
      </w:tr>
      <w:tr>
        <w:tc>
          <w:tcPr>
            <w:tcW w:type="dxa" w:w="7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color w:val="1F2937"/>
                <w:sz w:val="18"/>
              </w:rPr>
              <w:t>12</w:t>
            </w:r>
          </w:p>
        </w:tc>
        <w:tc>
          <w:tcPr>
            <w:tcW w:type="dxa" w:w="288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Lecture restriction</w:t>
            </w:r>
          </w:p>
        </w:tc>
        <w:tc>
          <w:tcPr>
            <w:tcW w:type="dxa" w:w="576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A normal tutor cannot be assigned to a lecture session.</w:t>
            </w:r>
          </w:p>
        </w:tc>
      </w:tr>
      <w:tr>
        <w:tc>
          <w:tcPr>
            <w:tcW w:type="dxa" w:w="72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color w:val="1F2937"/>
                <w:sz w:val="18"/>
              </w:rPr>
              <w:t>13</w:t>
            </w:r>
          </w:p>
        </w:tc>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Super Tutor assignment</w:t>
            </w:r>
          </w:p>
        </w:tc>
        <w:tc>
          <w:tcPr>
            <w:tcW w:type="dxa" w:w="57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A Super Tutor can be assigned to a lecture session.</w:t>
            </w:r>
          </w:p>
        </w:tc>
      </w:tr>
      <w:tr>
        <w:tc>
          <w:tcPr>
            <w:tcW w:type="dxa" w:w="7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color w:val="1F2937"/>
                <w:sz w:val="18"/>
              </w:rPr>
              <w:t>14</w:t>
            </w:r>
          </w:p>
        </w:tc>
        <w:tc>
          <w:tcPr>
            <w:tcW w:type="dxa" w:w="288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Coordinator self-assignment</w:t>
            </w:r>
          </w:p>
        </w:tc>
        <w:tc>
          <w:tcPr>
            <w:tcW w:type="dxa" w:w="576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A coordinator can assign themselves to a consultation session.</w:t>
            </w:r>
          </w:p>
        </w:tc>
      </w:tr>
      <w:tr>
        <w:tc>
          <w:tcPr>
            <w:tcW w:type="dxa" w:w="72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color w:val="1F2937"/>
                <w:sz w:val="18"/>
              </w:rPr>
              <w:t>15</w:t>
            </w:r>
          </w:p>
        </w:tc>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Change request creation</w:t>
            </w:r>
          </w:p>
        </w:tc>
        <w:tc>
          <w:tcPr>
            <w:tcW w:type="dxa" w:w="57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A tutor submits a request and it is stored.</w:t>
            </w:r>
          </w:p>
        </w:tc>
      </w:tr>
      <w:tr>
        <w:tc>
          <w:tcPr>
            <w:tcW w:type="dxa" w:w="7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color w:val="1F2937"/>
                <w:sz w:val="18"/>
              </w:rPr>
              <w:t>16</w:t>
            </w:r>
          </w:p>
        </w:tc>
        <w:tc>
          <w:tcPr>
            <w:tcW w:type="dxa" w:w="288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Change request review</w:t>
            </w:r>
          </w:p>
        </w:tc>
        <w:tc>
          <w:tcPr>
            <w:tcW w:type="dxa" w:w="576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A coordinator reviews and updates a tutor request.</w:t>
            </w:r>
          </w:p>
        </w:tc>
      </w:tr>
      <w:tr>
        <w:tc>
          <w:tcPr>
            <w:tcW w:type="dxa" w:w="72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color w:val="1F2937"/>
                <w:sz w:val="18"/>
              </w:rPr>
              <w:t>17</w:t>
            </w:r>
          </w:p>
        </w:tc>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Cover request creation</w:t>
            </w:r>
          </w:p>
        </w:tc>
        <w:tc>
          <w:tcPr>
            <w:tcW w:type="dxa" w:w="57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A coordinator creates a cover request for an assigned session.</w:t>
            </w:r>
          </w:p>
        </w:tc>
      </w:tr>
      <w:tr>
        <w:tc>
          <w:tcPr>
            <w:tcW w:type="dxa" w:w="7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color w:val="1F2937"/>
                <w:sz w:val="18"/>
              </w:rPr>
              <w:t>18</w:t>
            </w:r>
          </w:p>
        </w:tc>
        <w:tc>
          <w:tcPr>
            <w:tcW w:type="dxa" w:w="288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Cover request visibility</w:t>
            </w:r>
          </w:p>
        </w:tc>
        <w:tc>
          <w:tcPr>
            <w:tcW w:type="dxa" w:w="576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Eligible tutors can view open requests for their unit.</w:t>
            </w:r>
          </w:p>
        </w:tc>
      </w:tr>
      <w:tr>
        <w:tc>
          <w:tcPr>
            <w:tcW w:type="dxa" w:w="72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color w:val="1F2937"/>
                <w:sz w:val="18"/>
              </w:rPr>
              <w:t>19</w:t>
            </w:r>
          </w:p>
        </w:tc>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Lecture cover restriction</w:t>
            </w:r>
          </w:p>
        </w:tc>
        <w:tc>
          <w:tcPr>
            <w:tcW w:type="dxa" w:w="57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A normal tutor cannot claim a lecture cover request.</w:t>
            </w:r>
          </w:p>
        </w:tc>
      </w:tr>
      <w:tr>
        <w:tc>
          <w:tcPr>
            <w:tcW w:type="dxa" w:w="7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color w:val="1F2937"/>
                <w:sz w:val="18"/>
              </w:rPr>
              <w:t>20</w:t>
            </w:r>
          </w:p>
        </w:tc>
        <w:tc>
          <w:tcPr>
            <w:tcW w:type="dxa" w:w="288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Cover request claim</w:t>
            </w:r>
          </w:p>
        </w:tc>
        <w:tc>
          <w:tcPr>
            <w:tcW w:type="dxa" w:w="576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An eligible tutor claims an open cover request.</w:t>
            </w:r>
          </w:p>
        </w:tc>
      </w:tr>
      <w:tr>
        <w:tc>
          <w:tcPr>
            <w:tcW w:type="dxa" w:w="72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21</w:t>
            </w:r>
          </w:p>
        </w:tc>
        <w:tc>
          <w:tcPr>
            <w:tcW w:type="dxa" w:w="288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Coordinator availability view</w:t>
            </w:r>
          </w:p>
        </w:tc>
        <w:tc>
          <w:tcPr>
            <w:tcW w:type="dxa" w:w="576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A coordinator can view Tutor and Super Tutor availability for their unit.</w:t>
            </w:r>
          </w:p>
        </w:tc>
      </w:tr>
      <w:tr>
        <w:tc>
          <w:tcPr>
            <w:tcW w:type="dxa" w:w="7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22</w:t>
            </w:r>
          </w:p>
        </w:tc>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Tutor availability submission</w:t>
            </w:r>
          </w:p>
        </w:tc>
        <w:tc>
          <w:tcPr>
            <w:tcW w:type="dxa" w:w="57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A tutor submits availability and the slots are stored as submitted.</w:t>
            </w:r>
          </w:p>
        </w:tc>
      </w:tr>
      <w:tr>
        <w:tc>
          <w:tcPr>
            <w:tcW w:type="dxa" w:w="72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23</w:t>
            </w:r>
          </w:p>
        </w:tc>
        <w:tc>
          <w:tcPr>
            <w:tcW w:type="dxa" w:w="288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Availability lock</w:t>
            </w:r>
          </w:p>
        </w:tc>
        <w:tc>
          <w:tcPr>
            <w:tcW w:type="dxa" w:w="576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A locked availability window rejects new submissions.</w:t>
            </w:r>
          </w:p>
        </w:tc>
      </w:tr>
      <w:tr>
        <w:tc>
          <w:tcPr>
            <w:tcW w:type="dxa" w:w="7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24</w:t>
            </w:r>
          </w:p>
        </w:tc>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Public application metadata</w:t>
            </w:r>
          </w:p>
        </w:tc>
        <w:tc>
          <w:tcPr>
            <w:tcW w:type="dxa" w:w="57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The public application link returns unit details and its form.</w:t>
            </w:r>
          </w:p>
        </w:tc>
      </w:tr>
      <w:tr>
        <w:tc>
          <w:tcPr>
            <w:tcW w:type="dxa" w:w="72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25</w:t>
            </w:r>
          </w:p>
        </w:tc>
        <w:tc>
          <w:tcPr>
            <w:tcW w:type="dxa" w:w="288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Public application submission</w:t>
            </w:r>
          </w:p>
        </w:tc>
        <w:tc>
          <w:tcPr>
            <w:tcW w:type="dxa" w:w="576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An applicant submits an application with custom answers.</w:t>
            </w:r>
          </w:p>
        </w:tc>
      </w:tr>
      <w:tr>
        <w:tc>
          <w:tcPr>
            <w:tcW w:type="dxa" w:w="7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26</w:t>
            </w:r>
          </w:p>
        </w:tc>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Application form editor</w:t>
            </w:r>
          </w:p>
        </w:tc>
        <w:tc>
          <w:tcPr>
            <w:tcW w:type="dxa" w:w="57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A coordinator saves and resets the unit application form.</w:t>
            </w:r>
          </w:p>
        </w:tc>
      </w:tr>
      <w:tr>
        <w:tc>
          <w:tcPr>
            <w:tcW w:type="dxa" w:w="72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27</w:t>
            </w:r>
          </w:p>
        </w:tc>
        <w:tc>
          <w:tcPr>
            <w:tcW w:type="dxa" w:w="288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Super Tutor invitation</w:t>
            </w:r>
          </w:p>
        </w:tc>
        <w:tc>
          <w:tcPr>
            <w:tcW w:type="dxa" w:w="576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A direct invite can be verified and accepted with Super Tutor access.</w:t>
            </w:r>
          </w:p>
        </w:tc>
      </w:tr>
      <w:tr>
        <w:tc>
          <w:tcPr>
            <w:tcW w:type="dxa" w:w="7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28</w:t>
            </w:r>
          </w:p>
        </w:tc>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Direct messaging</w:t>
            </w:r>
          </w:p>
        </w:tc>
        <w:tc>
          <w:tcPr>
            <w:tcW w:type="dxa" w:w="57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A user sends and retrieves a one-to-one message thread.</w:t>
            </w:r>
          </w:p>
        </w:tc>
      </w:tr>
      <w:tr>
        <w:tc>
          <w:tcPr>
            <w:tcW w:type="dxa" w:w="72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29</w:t>
            </w:r>
          </w:p>
        </w:tc>
        <w:tc>
          <w:tcPr>
            <w:tcW w:type="dxa" w:w="288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Unit group messaging</w:t>
            </w:r>
          </w:p>
        </w:tc>
        <w:tc>
          <w:tcPr>
            <w:tcW w:type="dxa" w:w="576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A unit member sends and retrieves a group chat message.</w:t>
            </w:r>
          </w:p>
        </w:tc>
      </w:tr>
      <w:tr>
        <w:tc>
          <w:tcPr>
            <w:tcW w:type="dxa" w:w="7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30</w:t>
            </w:r>
          </w:p>
        </w:tc>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Message read state</w:t>
            </w:r>
          </w:p>
        </w:tc>
        <w:tc>
          <w:tcPr>
            <w:tcW w:type="dxa" w:w="57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A user marks a direct message thread as read.</w:t>
            </w:r>
          </w:p>
        </w:tc>
      </w:tr>
      <w:tr>
        <w:tc>
          <w:tcPr>
            <w:tcW w:type="dxa" w:w="72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31</w:t>
            </w:r>
          </w:p>
        </w:tc>
        <w:tc>
          <w:tcPr>
            <w:tcW w:type="dxa" w:w="288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Notification read state</w:t>
            </w:r>
          </w:p>
        </w:tc>
        <w:tc>
          <w:tcPr>
            <w:tcW w:type="dxa" w:w="576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A user lists notifications and marks one as read.</w:t>
            </w:r>
          </w:p>
        </w:tc>
      </w:tr>
      <w:tr>
        <w:tc>
          <w:tcPr>
            <w:tcW w:type="dxa" w:w="7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32</w:t>
            </w:r>
          </w:p>
        </w:tc>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Tutor dashboard</w:t>
            </w:r>
          </w:p>
        </w:tc>
        <w:tc>
          <w:tcPr>
            <w:tcW w:type="dxa" w:w="57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The Tutor dashboard returns unit and assignment status.</w:t>
            </w:r>
          </w:p>
        </w:tc>
      </w:tr>
      <w:tr>
        <w:tc>
          <w:tcPr>
            <w:tcW w:type="dxa" w:w="72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33</w:t>
            </w:r>
          </w:p>
        </w:tc>
        <w:tc>
          <w:tcPr>
            <w:tcW w:type="dxa" w:w="288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UC dashboard</w:t>
            </w:r>
          </w:p>
        </w:tc>
        <w:tc>
          <w:tcPr>
            <w:tcW w:type="dxa" w:w="576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The Unit Coordinator dashboard returns session and assignment counts.</w:t>
            </w:r>
          </w:p>
        </w:tc>
      </w:tr>
      <w:tr>
        <w:tc>
          <w:tcPr>
            <w:tcW w:type="dxa" w:w="7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34</w:t>
            </w:r>
          </w:p>
        </w:tc>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Create unit</w:t>
            </w:r>
          </w:p>
        </w:tc>
        <w:tc>
          <w:tcPr>
            <w:tcW w:type="dxa" w:w="57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A coordinator creates a unit without campus or delivery mode fields.</w:t>
            </w:r>
          </w:p>
        </w:tc>
      </w:tr>
      <w:tr>
        <w:tc>
          <w:tcPr>
            <w:tcW w:type="dxa" w:w="72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35</w:t>
            </w:r>
          </w:p>
        </w:tc>
        <w:tc>
          <w:tcPr>
            <w:tcW w:type="dxa" w:w="288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Duplicate unit prevention</w:t>
            </w:r>
          </w:p>
        </w:tc>
        <w:tc>
          <w:tcPr>
            <w:tcW w:type="dxa" w:w="576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A duplicate unit for the same semester and year is rejected.</w:t>
            </w:r>
          </w:p>
        </w:tc>
      </w:tr>
      <w:tr>
        <w:tc>
          <w:tcPr>
            <w:tcW w:type="dxa" w:w="7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36</w:t>
            </w:r>
          </w:p>
        </w:tc>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Unit access roles</w:t>
            </w:r>
          </w:p>
        </w:tc>
        <w:tc>
          <w:tcPr>
            <w:tcW w:type="dxa" w:w="57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color w:val="1F2937"/>
                <w:sz w:val="18"/>
              </w:rPr>
              <w:t>Authenticated unit access returns the user's role information.</w:t>
            </w:r>
          </w:p>
        </w:tc>
      </w:tr>
    </w:tbl>
    <w:p>
      <w:pPr>
        <w:spacing w:after="20"/>
      </w:pPr>
    </w:p>
    <w:p>
      <w:pPr>
        <w:pStyle w:val="Heading1"/>
        <w:spacing w:after="120" w:line="259" w:lineRule="auto"/>
      </w:pPr>
      <w:r>
        <w:rPr>
          <w:rFonts w:ascii="Aptos" w:hAnsi="Aptos"/>
          <w:b/>
          <w:color w:val="000000"/>
          <w:sz w:val="30"/>
        </w:rPr>
        <w:t>Role and Security Validation</w:t>
      </w:r>
    </w:p>
    <w:p>
      <w:pPr>
        <w:spacing w:after="100" w:line="259" w:lineRule="auto"/>
      </w:pPr>
      <w:r>
        <w:rPr>
          <w:rFonts w:ascii="Aptos" w:hAnsi="Aptos"/>
          <w:b w:val="0"/>
          <w:color w:val="1F2937"/>
          <w:sz w:val="21"/>
        </w:rPr>
        <w:t>The suite checks the main account states and unit-level roles used by Sessioneer:</w:t>
      </w:r>
    </w:p>
    <w:p>
      <w:pPr>
        <w:pStyle w:val="ListBullet"/>
        <w:spacing w:after="40" w:line="259" w:lineRule="auto"/>
      </w:pPr>
      <w:r>
        <w:rPr>
          <w:rFonts w:ascii="Aptos" w:hAnsi="Aptos"/>
          <w:b w:val="0"/>
          <w:color w:val="1F2937"/>
          <w:sz w:val="20"/>
        </w:rPr>
        <w:t>Administrator access is required for administrative user and unit-management APIs.</w:t>
      </w:r>
    </w:p>
    <w:p>
      <w:pPr>
        <w:pStyle w:val="ListBullet"/>
        <w:spacing w:after="40" w:line="259" w:lineRule="auto"/>
      </w:pPr>
      <w:r>
        <w:rPr>
          <w:rFonts w:ascii="Aptos" w:hAnsi="Aptos"/>
          <w:b w:val="0"/>
          <w:color w:val="1F2937"/>
          <w:sz w:val="20"/>
        </w:rPr>
        <w:t>Pending and disabled accounts are blocked from protected application routes.</w:t>
      </w:r>
    </w:p>
    <w:p>
      <w:pPr>
        <w:pStyle w:val="ListBullet"/>
        <w:spacing w:after="40" w:line="259" w:lineRule="auto"/>
      </w:pPr>
      <w:r>
        <w:rPr>
          <w:rFonts w:ascii="Aptos" w:hAnsi="Aptos"/>
          <w:b w:val="0"/>
          <w:color w:val="1F2937"/>
          <w:sz w:val="20"/>
        </w:rPr>
        <w:t>Coordinators can manage sessions only within their own unit scope.</w:t>
      </w:r>
    </w:p>
    <w:p>
      <w:pPr>
        <w:pStyle w:val="ListBullet"/>
        <w:spacing w:after="40" w:line="259" w:lineRule="auto"/>
      </w:pPr>
      <w:r>
        <w:rPr>
          <w:rFonts w:ascii="Aptos" w:hAnsi="Aptos"/>
          <w:b w:val="0"/>
          <w:color w:val="1F2937"/>
          <w:sz w:val="20"/>
        </w:rPr>
        <w:t>Normal Tutors can be assigned to tutorial sessions but not lecture or consultation sessions where Super Tutor access is required.</w:t>
      </w:r>
    </w:p>
    <w:p>
      <w:pPr>
        <w:pStyle w:val="ListBullet"/>
        <w:spacing w:after="40" w:line="259" w:lineRule="auto"/>
      </w:pPr>
      <w:r>
        <w:rPr>
          <w:rFonts w:ascii="Aptos" w:hAnsi="Aptos"/>
          <w:b w:val="0"/>
          <w:color w:val="1F2937"/>
          <w:sz w:val="20"/>
        </w:rPr>
        <w:t>Super Tutors can be assigned to lecture sessions.</w:t>
      </w:r>
    </w:p>
    <w:p>
      <w:pPr>
        <w:pStyle w:val="ListBullet"/>
        <w:spacing w:after="40" w:line="259" w:lineRule="auto"/>
      </w:pPr>
      <w:r>
        <w:rPr>
          <w:rFonts w:ascii="Aptos" w:hAnsi="Aptos"/>
          <w:b w:val="0"/>
          <w:color w:val="1F2937"/>
          <w:sz w:val="20"/>
        </w:rPr>
        <w:t>A coordinator can self-assign a consultation session on their own unit without being added as a Tutor membership.</w:t>
      </w:r>
    </w:p>
    <w:p>
      <w:pPr>
        <w:pStyle w:val="ListBullet"/>
        <w:spacing w:after="40" w:line="259" w:lineRule="auto"/>
      </w:pPr>
      <w:r>
        <w:rPr>
          <w:rFonts w:ascii="Aptos" w:hAnsi="Aptos"/>
          <w:b w:val="0"/>
          <w:color w:val="1F2937"/>
          <w:sz w:val="20"/>
        </w:rPr>
        <w:t>The test suite verifies that Tutor and Super Tutor membership roles do not remain duplicated for the same user and unit.</w:t>
      </w:r>
    </w:p>
    <w:p>
      <w:pPr>
        <w:pStyle w:val="Heading1"/>
        <w:spacing w:after="120" w:line="259" w:lineRule="auto"/>
      </w:pPr>
      <w:r>
        <w:rPr>
          <w:rFonts w:ascii="Aptos" w:hAnsi="Aptos"/>
          <w:b/>
          <w:color w:val="000000"/>
          <w:sz w:val="30"/>
        </w:rPr>
        <w:t>Coverage Results</w:t>
      </w:r>
    </w:p>
    <w:p>
      <w:pPr>
        <w:spacing w:after="100" w:line="259" w:lineRule="auto"/>
      </w:pPr>
      <w:r>
        <w:rPr>
          <w:rFonts w:ascii="Aptos" w:hAnsi="Aptos"/>
          <w:b w:val="0"/>
          <w:color w:val="1F2937"/>
          <w:sz w:val="21"/>
        </w:rPr>
        <w:t>The coverage run produced the following baseline across the selected backend source folders: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02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jc w:val="left"/>
            </w:pPr>
            <w:r>
              <w:rPr>
                <w:rFonts w:ascii="Aptos" w:hAnsi="Aptos"/>
                <w:b/>
                <w:color w:val="FFFFFF"/>
                <w:sz w:val="19"/>
              </w:rPr>
              <w:t>Metric</w:t>
            </w:r>
          </w:p>
        </w:tc>
        <w:tc>
          <w:tcPr>
            <w:tcW w:type="dxa" w:w="770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jc w:val="left"/>
            </w:pPr>
            <w:r>
              <w:rPr>
                <w:rFonts w:ascii="Aptos" w:hAnsi="Aptos"/>
                <w:b/>
                <w:color w:val="FFFFFF"/>
                <w:sz w:val="19"/>
              </w:rPr>
              <w:t>Coverage</w:t>
            </w:r>
          </w:p>
        </w:tc>
      </w:tr>
      <w:tr>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Statements</w:t>
            </w:r>
          </w:p>
        </w:tc>
        <w:tc>
          <w:tcPr>
            <w:tcW w:type="dxa" w:w="77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t>41.12%</w:t>
            </w:r>
          </w:p>
        </w:tc>
      </w:tr>
      <w:tr>
        <w:tc>
          <w:tcPr>
            <w:tcW w:type="dxa" w:w="3024"/>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Branches</w:t>
            </w:r>
          </w:p>
        </w:tc>
        <w:tc>
          <w:tcPr>
            <w:tcW w:type="dxa" w:w="7704"/>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t>26.63%</w:t>
            </w:r>
          </w:p>
        </w:tc>
      </w:tr>
      <w:tr>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Functions</w:t>
            </w:r>
          </w:p>
        </w:tc>
        <w:tc>
          <w:tcPr>
            <w:tcW w:type="dxa" w:w="77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t>42.45%</w:t>
            </w:r>
          </w:p>
        </w:tc>
      </w:tr>
      <w:tr>
        <w:tc>
          <w:tcPr>
            <w:tcW w:type="dxa" w:w="3024"/>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Lines</w:t>
            </w:r>
          </w:p>
        </w:tc>
        <w:tc>
          <w:tcPr>
            <w:tcW w:type="dxa" w:w="7704"/>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t>42.36%</w:t>
            </w:r>
          </w:p>
        </w:tc>
      </w:tr>
      <w:tr>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Best-covered area</w:t>
            </w:r>
          </w:p>
        </w:tc>
        <w:tc>
          <w:tcPr>
            <w:tcW w:type="dxa" w:w="77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t>Authentication middleware: 96.87% statements and 100% functions</w:t>
            </w:r>
          </w:p>
        </w:tc>
      </w:tr>
      <w:tr>
        <w:tc>
          <w:tcPr>
            <w:tcW w:type="dxa" w:w="3024"/>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ptos" w:hAnsi="Aptos"/>
                <w:b w:val="0"/>
                <w:color w:val="1F2937"/>
                <w:sz w:val="18"/>
              </w:rPr>
              <w:t>Highest workflow coverage</w:t>
            </w:r>
          </w:p>
        </w:tc>
        <w:tc>
          <w:tcPr>
            <w:tcW w:type="dxa" w:w="7704"/>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t>Cover request routes: 73.52% statements and 73.71% lines</w:t>
            </w:r>
          </w:p>
        </w:tc>
      </w:tr>
    </w:tbl>
    <w:p>
      <w:pPr>
        <w:spacing w:after="20"/>
      </w:pPr>
    </w:p>
    <w:p>
      <w:pPr>
        <w:spacing w:after="100" w:line="259" w:lineRule="auto"/>
      </w:pPr>
      <w:r>
        <w:rPr>
          <w:rFonts w:ascii="Aptos" w:hAnsi="Aptos"/>
          <w:b w:val="0"/>
          <w:color w:val="1F2937"/>
          <w:sz w:val="21"/>
        </w:rPr>
        <w:t>These figures are a baseline, not a quality score. The current suite focuses on high-value workflows and role boundaries, while several routes such as availability, messaging, tutor applications, dashboard data, and unit management still need additional cases.</w:t>
      </w:r>
    </w:p>
    <w:p>
      <w:pPr>
        <w:pStyle w:val="Heading1"/>
        <w:spacing w:after="120" w:line="259" w:lineRule="auto"/>
      </w:pPr>
      <w:r>
        <w:rPr>
          <w:rFonts w:ascii="Aptos" w:hAnsi="Aptos"/>
          <w:b/>
          <w:color w:val="000000"/>
          <w:sz w:val="30"/>
        </w:rPr>
        <w:t>How to Run the Tests</w:t>
      </w:r>
    </w:p>
    <w:p>
      <w:pPr>
        <w:spacing w:after="100" w:line="259" w:lineRule="auto"/>
      </w:pPr>
      <w:r>
        <w:rPr>
          <w:rFonts w:ascii="Aptos" w:hAnsi="Aptos"/>
          <w:b w:val="0"/>
          <w:color w:val="1F2937"/>
          <w:sz w:val="21"/>
        </w:rPr>
        <w:t>From the backend directory, start the isolated PostgreSQL test database and create backend/.env.test from backend/.env.test.example. The TEST_DATABASE_URL must point to the local test database and must never point to Render, Supabase, or the normal application database.</w:t>
      </w:r>
    </w:p>
    <w:p>
      <w:pPr>
        <w:spacing w:after="100" w:line="259" w:lineRule="auto"/>
      </w:pPr>
      <w:r>
        <w:rPr>
          <w:rFonts w:ascii="Aptos" w:hAnsi="Aptos"/>
          <w:b w:val="0"/>
          <w:color w:val="1F2937"/>
          <w:sz w:val="21"/>
        </w:rPr>
        <w:t>Run the functional suite with:</w:t>
      </w:r>
    </w:p>
    <w:p>
      <w:pPr>
        <w:spacing w:after="100" w:line="259" w:lineRule="auto"/>
      </w:pPr>
      <w:r>
        <w:rPr>
          <w:rFonts w:ascii="Aptos" w:hAnsi="Aptos"/>
          <w:b w:val="0"/>
          <w:color w:val="1F2937"/>
          <w:sz w:val="21"/>
        </w:rPr>
        <w:t>npm run test:api</w:t>
      </w:r>
    </w:p>
    <w:p>
      <w:pPr>
        <w:spacing w:after="100" w:line="259" w:lineRule="auto"/>
      </w:pPr>
      <w:r>
        <w:rPr>
          <w:rFonts w:ascii="Aptos" w:hAnsi="Aptos"/>
          <w:b w:val="0"/>
          <w:color w:val="1F2937"/>
          <w:sz w:val="21"/>
        </w:rPr>
        <w:t>Run the suite with coverage reporting using:</w:t>
      </w:r>
    </w:p>
    <w:p>
      <w:pPr>
        <w:spacing w:after="100" w:line="259" w:lineRule="auto"/>
      </w:pPr>
      <w:r>
        <w:rPr>
          <w:rFonts w:ascii="Aptos" w:hAnsi="Aptos"/>
          <w:b w:val="0"/>
          <w:color w:val="1F2937"/>
          <w:sz w:val="21"/>
        </w:rPr>
        <w:t>npm run test:api:coverage</w:t>
      </w:r>
    </w:p>
    <w:p>
      <w:pPr>
        <w:spacing w:after="100" w:line="259" w:lineRule="auto"/>
      </w:pPr>
      <w:r>
        <w:rPr>
          <w:rFonts w:ascii="Aptos" w:hAnsi="Aptos"/>
          <w:b w:val="0"/>
          <w:color w:val="1F2937"/>
          <w:sz w:val="21"/>
        </w:rPr>
        <w:t>The coverage files are written to backend/coverage/api and are ignored by Git. The local environment file is also ignored and must not be committed.</w:t>
      </w:r>
    </w:p>
    <w:p>
      <w:pPr>
        <w:pStyle w:val="Heading1"/>
        <w:spacing w:after="120" w:line="259" w:lineRule="auto"/>
      </w:pPr>
      <w:r>
        <w:rPr>
          <w:rFonts w:ascii="Aptos" w:hAnsi="Aptos"/>
          <w:b/>
          <w:color w:val="000000"/>
          <w:sz w:val="30"/>
        </w:rPr>
        <w:t>Limitations and Future Testing</w:t>
      </w:r>
    </w:p>
    <w:p>
      <w:pPr>
        <w:pStyle w:val="ListBullet"/>
        <w:spacing w:after="40" w:line="259" w:lineRule="auto"/>
      </w:pPr>
      <w:r>
        <w:rPr>
          <w:rFonts w:ascii="Aptos" w:hAnsi="Aptos"/>
          <w:b w:val="0"/>
          <w:color w:val="1F2937"/>
          <w:sz w:val="20"/>
        </w:rPr>
        <w:t>The tests do not replace frontend browser testing or manual user acceptance testing.</w:t>
      </w:r>
    </w:p>
    <w:p>
      <w:pPr>
        <w:pStyle w:val="ListBullet"/>
        <w:spacing w:after="40" w:line="259" w:lineRule="auto"/>
      </w:pPr>
      <w:r>
        <w:rPr>
          <w:rFonts w:ascii="Aptos" w:hAnsi="Aptos"/>
          <w:b w:val="0"/>
          <w:color w:val="1F2937"/>
          <w:sz w:val="20"/>
        </w:rPr>
        <w:t>Email delivery is mocked, so the suite confirms when notifications are requested but does not verify delivery through Brevo.</w:t>
      </w:r>
    </w:p>
    <w:p>
      <w:pPr>
        <w:pStyle w:val="ListBullet"/>
        <w:spacing w:after="40" w:line="259" w:lineRule="auto"/>
      </w:pPr>
      <w:r>
        <w:rPr>
          <w:rFonts w:ascii="Aptos" w:hAnsi="Aptos"/>
          <w:b w:val="0"/>
          <w:color w:val="1F2937"/>
          <w:sz w:val="20"/>
        </w:rPr>
        <w:t>The current suite covers selected high-risk workflows and does not exercise every route, validation branch, or error condition.</w:t>
      </w:r>
    </w:p>
    <w:p>
      <w:pPr>
        <w:pStyle w:val="ListBullet"/>
        <w:spacing w:after="40" w:line="259" w:lineRule="auto"/>
      </w:pPr>
      <w:r>
        <w:rPr>
          <w:rFonts w:ascii="Aptos" w:hAnsi="Aptos"/>
          <w:b w:val="0"/>
          <w:color w:val="1F2937"/>
          <w:sz w:val="20"/>
        </w:rPr>
        <w:t>The next testing increment should add availability, messaging, tutor application, dashboard, notification, and broader unit-management cases.</w:t>
      </w:r>
    </w:p>
    <w:p>
      <w:pPr>
        <w:pStyle w:val="ListBullet"/>
        <w:spacing w:after="40" w:line="259" w:lineRule="auto"/>
      </w:pPr>
      <w:r>
        <w:rPr>
          <w:rFonts w:ascii="Aptos" w:hAnsi="Aptos"/>
          <w:b w:val="0"/>
          <w:color w:val="1F2937"/>
          <w:sz w:val="20"/>
        </w:rPr>
        <w:t>A CI workflow should run the test suite automatically for pull requests once the repository workflow is agreed with the team.</w:t>
      </w:r>
    </w:p>
    <w:p>
      <w:pPr>
        <w:pStyle w:val="Heading1"/>
        <w:spacing w:after="120" w:line="259" w:lineRule="auto"/>
      </w:pPr>
      <w:r>
        <w:rPr>
          <w:rFonts w:ascii="Aptos" w:hAnsi="Aptos"/>
          <w:b/>
          <w:color w:val="000000"/>
          <w:sz w:val="30"/>
        </w:rPr>
        <w:t>Conclusion</w:t>
      </w:r>
    </w:p>
    <w:p>
      <w:pPr>
        <w:spacing w:after="100" w:line="259" w:lineRule="auto"/>
      </w:pPr>
      <w:r>
        <w:rPr>
          <w:rFonts w:ascii="Aptos" w:hAnsi="Aptos"/>
          <w:b w:val="0"/>
          <w:color w:val="1F2937"/>
          <w:sz w:val="21"/>
        </w:rPr>
        <w:t>The Sessioneer backend has a functioning automated regression suite with 49 passing API and integration tests. It verifies the most important authentication, authorization, role-management, session-assignment, request, and cover-request workflows using a safe isolated database. This provides a repeatable foundation for future backend changes and gives the project a clear path toward wider coverage and continuous integration.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6B7280"/>
        <w:sz w:val="16"/>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