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方正小标宋简体" w:hAnsi="Times New Roman" w:eastAsia="方正小标宋简体" w:cs="Times New Roman"/>
          <w:sz w:val="44"/>
        </w:rPr>
      </w:pPr>
      <w:r>
        <w:rPr>
          <w:rFonts w:hint="eastAsia" w:ascii="方正小标宋简体" w:hAnsi="Times New Roman" w:eastAsia="方正小标宋简体" w:cs="Times New Roman"/>
          <w:sz w:val="44"/>
        </w:rPr>
        <w:t>法库县公安局</w:t>
      </w:r>
      <w:r>
        <w:rPr>
          <w:rFonts w:hint="eastAsia" w:ascii="方正小标宋简体" w:hAnsi="Times New Roman" w:eastAsia="方正小标宋简体" w:cs="Times New Roman"/>
          <w:sz w:val="44"/>
          <w:lang w:val="en-US" w:eastAsia="zh-CN"/>
        </w:rPr>
        <w:t>融智算</w:t>
      </w:r>
      <w:r>
        <w:rPr>
          <w:rFonts w:hint="eastAsia" w:ascii="方正小标宋简体" w:hAnsi="Times New Roman" w:eastAsia="方正小标宋简体" w:cs="Times New Roman"/>
          <w:sz w:val="44"/>
        </w:rPr>
        <w:t>标杆案例：政企协同智算服务落地全流程指引</w:t>
      </w:r>
    </w:p>
    <w:p>
      <w:pPr>
        <w:rPr>
          <w:rFonts w:hint="eastAsia" w:ascii="黑体" w:hAnsi="黑体" w:eastAsia="黑体" w:cs="仿宋_GB2312"/>
          <w:sz w:val="32"/>
          <w:szCs w:val="32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ascii="黑体" w:hAnsi="黑体" w:eastAsia="黑体" w:cs="仿宋_GB2312"/>
          <w:sz w:val="32"/>
          <w:szCs w:val="32"/>
          <w:lang w:eastAsia="zh-CN"/>
        </w:rPr>
        <w:t>一、项目背景与战略价值：从单点突破到生态卡位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 xml:space="preserve">法库分公司在省公司政企走访改革机制驱动下，积极落实“智算百城计划”敏锐捕捉到法库县公安局在智能化转型中的核心诉求：面对传统模式下的警力部署、响应时效等压力，亟需构建"算力+算法+数据"一体化能力底座，且项目落地后，对我公司形成三重战略价值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政务市场卡位：作为深入公安系统的关键切入点，成功阻击电信算力中心在法库政务市场的渗透，巩固移动在公安信息化领域的市场份额。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平安城市衔接：提前介入视频解析与数据采集环节，掌握前端监控设备点位等关键信息，为平安城市五期项目（预算近1000万）到期后中标奠定基础，预计提升中标概率40%以上。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全市算力拓展：若实现95%以上预警准确率，可接入全市其他区县"平安城市"监控探头，带动智算服务器扩容，形成从区县到全市的算力服务生态。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二、需求挖掘与痛点破解：双线走访锁定三大核心诉求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 xml:space="preserve"> 法库分公司创新采用"业务需求+技术痛点"双线走访模式，由主管经理牵头成立专项组，3个月累计走访17次，精准锁定客户三大刚性需求：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智能化转型压力：海量视频数据人工解析效率低下，传统服务器无法满足案件研判实时性要求，亟需大模型算力支撑。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安全合规红线：公安内网数据传输需满足等保三级标准，传统互联网接入存在安全隐患，需专用数据专线保障。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预算执行痛点：希望通过标准化产品采购规避复杂招标流程（单项成本＜30万元/年），实现年度预算高效执行。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三、解决方案设计：全产品矩阵构建一体化服务能力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楷体_GB2312" w:hAnsi="楷体" w:eastAsia="楷体_GB2312" w:cs="Times New Roman"/>
          <w:kern w:val="2"/>
          <w:sz w:val="32"/>
          <w:szCs w:val="32"/>
          <w:lang w:val="en-US" w:eastAsia="zh-CN" w:bidi="ar-SA"/>
        </w:rPr>
        <w:t>（一）技术方案：算力+网络+云服务的三维融合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算力层：部署1台8卡910B2服务器（复用省公司存量设备）+5台通算服务器（移动云小栈ECS模式），满足视频抽帧分析、目标检测等高密度计算需求。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网络层：开通1G公安内网数据专线，保障等保三级安全传输标准，测试时延＜20ms。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服务层：整合IDC机柜（公安局本地部署）、数据采集处理服务，形成"算力租赁+专线接入+云管理"的一站式服务。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楷体_GB2312" w:hAnsi="楷体" w:eastAsia="楷体_GB2312" w:cs="Times New Roman"/>
          <w:kern w:val="2"/>
          <w:sz w:val="32"/>
          <w:szCs w:val="32"/>
          <w:lang w:val="en-US" w:eastAsia="zh-CN" w:bidi="ar-SA"/>
        </w:rPr>
        <w:t>（二）产品组合：标准化产品适配财政预算</w:t>
      </w:r>
    </w:p>
    <w:tbl>
      <w:tblPr>
        <w:tblStyle w:val="2"/>
        <w:tblW w:w="76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产品模块</w:t>
            </w:r>
          </w:p>
        </w:tc>
        <w:tc>
          <w:tcPr>
            <w:tcW w:w="5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计费策略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移动云（智算+小栈）  </w:t>
            </w:r>
          </w:p>
        </w:tc>
        <w:tc>
          <w:tcPr>
            <w:tcW w:w="5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算力资源按CPU/GPU核心数计量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IDC</w:t>
            </w:r>
          </w:p>
        </w:tc>
        <w:tc>
          <w:tcPr>
            <w:tcW w:w="5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5KW标准机柜租赁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1G数据专线   </w:t>
            </w:r>
          </w:p>
        </w:tc>
        <w:tc>
          <w:tcPr>
            <w:tcW w:w="5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按带宽+服务等级协议计费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合计   </w:t>
            </w:r>
          </w:p>
        </w:tc>
        <w:tc>
          <w:tcPr>
            <w:tcW w:w="5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分算力服务（自筹）+专线（财政预算）双渠道支付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四、实施成效：市场、能力、流程三维突破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市场份额巩固：成功抵御电信算力中心竞争，成为法库公安唯一智算服务提供商。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能力体系升级：培养2名公安行业复合型人才，建立公安行业解决方案专家库。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经济效益显著：净利润可超25%。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五、可复制经验：标准化机制与工具包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 xml:space="preserve"> </w:t>
      </w:r>
      <w:r>
        <w:rPr>
          <w:rFonts w:hint="eastAsia" w:ascii="楷体_GB2312" w:hAnsi="楷体" w:eastAsia="楷体_GB2312" w:cs="Times New Roman"/>
          <w:kern w:val="2"/>
          <w:sz w:val="32"/>
          <w:szCs w:val="32"/>
          <w:lang w:val="en-US" w:eastAsia="zh-CN" w:bidi="ar-SA"/>
        </w:rPr>
        <w:t>（一）走访机制："望闻问切"四步工作法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1. 望需求：梳理公安信息化建设规划，锁定智算、网络、安全三类需求。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2. 闻痛点：通过技术测试暴露传统架构短板（如视频解析延迟高）。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3. 问规划：对接平安城市、智慧警务等项目计划，挖掘算力前置部署机会。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4. 切难点：针对预算、招标等痛点，提供标准化产品解决方案。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 xml:space="preserve"> </w:t>
      </w:r>
      <w:r>
        <w:rPr>
          <w:rFonts w:hint="eastAsia" w:ascii="楷体_GB2312" w:hAnsi="楷体" w:eastAsia="楷体_GB2312" w:cs="Times New Roman"/>
          <w:kern w:val="2"/>
          <w:sz w:val="32"/>
          <w:szCs w:val="32"/>
          <w:lang w:val="en-US" w:eastAsia="zh-CN" w:bidi="ar-SA"/>
        </w:rPr>
        <w:t>（二）资源调度：省市联动"一键式"支撑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1.省公司提供技术背书（如910B2服务器资源池、移动云智算一体机服务）、云资源审批。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2.市公司协调网络专线、IDC资源跨部门调度。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3.区县公司负责客户关系维护与需求落地。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楷体_GB2312" w:hAnsi="楷体" w:eastAsia="楷体_GB2312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" w:eastAsia="楷体_GB2312" w:cs="Times New Roman"/>
          <w:kern w:val="2"/>
          <w:sz w:val="32"/>
          <w:szCs w:val="32"/>
          <w:lang w:val="en-US" w:eastAsia="zh-CN" w:bidi="ar-SA"/>
        </w:rPr>
        <w:t xml:space="preserve"> （三）激励机制：商机挖掘积分制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1. 将走访成效与个人绩效挂钩，设置"改革先锋奖"专项激励。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2.商机转化率、客户满意度纳入团队KPI考核，权重占比20%。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 xml:space="preserve"> </w:t>
      </w:r>
      <w:r>
        <w:rPr>
          <w:rFonts w:hint="eastAsia" w:ascii="楷体_GB2312" w:hAnsi="楷体" w:eastAsia="楷体_GB2312" w:cs="Times New Roman"/>
          <w:kern w:val="2"/>
          <w:sz w:val="32"/>
          <w:szCs w:val="32"/>
          <w:lang w:val="en-US" w:eastAsia="zh-CN" w:bidi="ar-SA"/>
        </w:rPr>
        <w:t>（四）竞争策略：差异化能力构建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1.技术差异化：突出算力+算法一体化能力（如支持三类场景实时预警）。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2.安全差异化：强调等保三级专线+设备产权归属（移动所有）的安全保障。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3.服务差异化：提供"7×24小时"运维响应。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六、未来拓展：从视频解析到智慧警务生态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1.场景延伸：从交通事故、非法集会等场景，拓展至智慧办案、交通治理、社会防控全场景。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2.算力扩容：若接入全市监控探头，预计带动智算服务器扩容，形成百万级算力服务能力。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  <w:t>3.生态合作：联合辽宁瑞思科技等AI算法厂商，构建"移动算力+行业算法"的合作模式，提升解决方案竞争力。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 w:firstLine="640" w:firstLineChars="200"/>
        <w:textAlignment w:val="auto"/>
        <w:rPr>
          <w:rFonts w:hint="eastAsia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128" w:rightChars="61"/>
        <w:textAlignment w:val="auto"/>
        <w:rPr>
          <w:rFonts w:hint="default" w:ascii="仿宋_GB2312" w:hAnsi="Times New Roman" w:eastAsia="仿宋_GB2312" w:cs="仿宋_GB2312"/>
          <w:kern w:val="2"/>
          <w:sz w:val="32"/>
          <w:szCs w:val="32"/>
          <w:highlight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21E14"/>
    <w:rsid w:val="1222080B"/>
    <w:rsid w:val="29D6470C"/>
    <w:rsid w:val="2AD61212"/>
    <w:rsid w:val="2CE3054F"/>
    <w:rsid w:val="31AE452A"/>
    <w:rsid w:val="3EFCB829"/>
    <w:rsid w:val="3F544D2C"/>
    <w:rsid w:val="3FE71255"/>
    <w:rsid w:val="48F21E14"/>
    <w:rsid w:val="5BF01358"/>
    <w:rsid w:val="5BFFAF5F"/>
    <w:rsid w:val="677CD212"/>
    <w:rsid w:val="67BF6AFF"/>
    <w:rsid w:val="6DEF6A03"/>
    <w:rsid w:val="6FDA40DF"/>
    <w:rsid w:val="73FEC784"/>
    <w:rsid w:val="78BFBC68"/>
    <w:rsid w:val="7B3B0A66"/>
    <w:rsid w:val="7BF504EE"/>
    <w:rsid w:val="7BFD64B4"/>
    <w:rsid w:val="7D3F578D"/>
    <w:rsid w:val="7E4B4F3A"/>
    <w:rsid w:val="7E9B06AD"/>
    <w:rsid w:val="7F5AD7A2"/>
    <w:rsid w:val="7FFF6ED1"/>
    <w:rsid w:val="9B530557"/>
    <w:rsid w:val="A7FB7053"/>
    <w:rsid w:val="ADF52CE8"/>
    <w:rsid w:val="BDD7851D"/>
    <w:rsid w:val="DBFBF5C4"/>
    <w:rsid w:val="DEFFED85"/>
    <w:rsid w:val="DF7A0D8E"/>
    <w:rsid w:val="DFCED09E"/>
    <w:rsid w:val="DFFF0C28"/>
    <w:rsid w:val="E9F359D5"/>
    <w:rsid w:val="F25A64B1"/>
    <w:rsid w:val="F5372B82"/>
    <w:rsid w:val="F7AF6A8A"/>
    <w:rsid w:val="F7EB7B0A"/>
    <w:rsid w:val="FADDA11B"/>
    <w:rsid w:val="FBB0CDCB"/>
    <w:rsid w:val="FEBE0ACB"/>
    <w:rsid w:val="FFB270EF"/>
    <w:rsid w:val="FFEDF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list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辽宁有限公司</Company>
  <Pages>4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2025-06-27T07:06:00Z</dcterms:created>
  <dc:creator>Administrator</dc:creator>
  <cp:lastModifiedBy>chenzheyang</cp:lastModifiedBy>
  <dcterms:modified xsi:type="dcterms:W3CDTF">2025-06-30T03:56:38Z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22607922C2B44B2E9C4B9B593B442956</vt:lpwstr>
  </property>
</Properties>
</file>