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1166E" w14:textId="2E031CCD" w:rsidR="009943DE" w:rsidRPr="009943DE" w:rsidRDefault="009943DE" w:rsidP="009943DE">
      <w:pPr>
        <w:spacing w:line="480" w:lineRule="auto"/>
        <w:rPr>
          <w:rFonts w:cs="Times New Roman"/>
          <w:b/>
          <w:color w:val="000000" w:themeColor="text1"/>
          <w:sz w:val="28"/>
          <w:szCs w:val="24"/>
        </w:rPr>
      </w:pPr>
      <w:r w:rsidRPr="009943DE">
        <w:rPr>
          <w:rFonts w:cs="Times New Roman" w:hint="eastAsia"/>
          <w:b/>
          <w:color w:val="000000" w:themeColor="text1"/>
          <w:sz w:val="28"/>
          <w:szCs w:val="24"/>
        </w:rPr>
        <w:t>A</w:t>
      </w:r>
      <w:r w:rsidRPr="009943DE">
        <w:rPr>
          <w:rFonts w:cs="Times New Roman"/>
          <w:b/>
          <w:color w:val="000000" w:themeColor="text1"/>
          <w:sz w:val="28"/>
          <w:szCs w:val="24"/>
        </w:rPr>
        <w:t>dditional information:</w:t>
      </w:r>
    </w:p>
    <w:p w14:paraId="6D87F9D1" w14:textId="0C465D65" w:rsidR="009943DE" w:rsidRPr="009943DE" w:rsidRDefault="009943DE" w:rsidP="009943DE">
      <w:pPr>
        <w:ind w:firstLineChars="200" w:firstLine="480"/>
        <w:rPr>
          <w:rFonts w:cs="Times New Roman"/>
          <w:color w:val="000000" w:themeColor="text1"/>
          <w:sz w:val="24"/>
          <w:szCs w:val="24"/>
        </w:rPr>
      </w:pPr>
      <w:r w:rsidRPr="009943DE">
        <w:rPr>
          <w:rFonts w:cs="Times New Roman" w:hint="eastAsia"/>
          <w:color w:val="000000" w:themeColor="text1"/>
          <w:sz w:val="24"/>
          <w:szCs w:val="24"/>
        </w:rPr>
        <w:t>T</w:t>
      </w:r>
      <w:r w:rsidRPr="009943DE">
        <w:rPr>
          <w:rFonts w:cs="Times New Roman"/>
          <w:color w:val="000000" w:themeColor="text1"/>
          <w:sz w:val="24"/>
          <w:szCs w:val="24"/>
        </w:rPr>
        <w:t xml:space="preserve">he input </w:t>
      </w:r>
      <w:r w:rsidRPr="009943DE">
        <w:rPr>
          <w:rFonts w:cs="Times New Roman" w:hint="eastAsia"/>
          <w:color w:val="000000" w:themeColor="text1"/>
          <w:sz w:val="24"/>
          <w:szCs w:val="24"/>
        </w:rPr>
        <w:t xml:space="preserve">variables </w:t>
      </w:r>
      <w:r w:rsidRPr="009943DE">
        <w:rPr>
          <w:rFonts w:cs="Times New Roman"/>
          <w:color w:val="000000" w:themeColor="text1"/>
          <w:sz w:val="24"/>
          <w:szCs w:val="24"/>
        </w:rPr>
        <w:t>for ensemble</w:t>
      </w:r>
      <w:r w:rsidRPr="009943DE">
        <w:rPr>
          <w:rFonts w:cs="Times New Roman" w:hint="eastAsia"/>
          <w:color w:val="000000" w:themeColor="text1"/>
          <w:sz w:val="24"/>
          <w:szCs w:val="24"/>
        </w:rPr>
        <w:t xml:space="preserve"> learning</w:t>
      </w:r>
      <w:r w:rsidRPr="009943DE">
        <w:rPr>
          <w:rFonts w:cs="Times New Roman"/>
          <w:color w:val="000000" w:themeColor="text1"/>
          <w:sz w:val="24"/>
          <w:szCs w:val="24"/>
        </w:rPr>
        <w:t xml:space="preserve"> methods</w:t>
      </w:r>
      <w:r w:rsidRPr="009943DE">
        <w:rPr>
          <w:rFonts w:cs="Times New Roman" w:hint="eastAsia"/>
          <w:color w:val="000000" w:themeColor="text1"/>
          <w:sz w:val="24"/>
          <w:szCs w:val="24"/>
        </w:rPr>
        <w:t xml:space="preserve"> </w:t>
      </w:r>
      <w:r w:rsidRPr="009943DE">
        <w:rPr>
          <w:rFonts w:cs="Times New Roman"/>
          <w:color w:val="000000" w:themeColor="text1"/>
          <w:sz w:val="24"/>
          <w:szCs w:val="24"/>
        </w:rPr>
        <w:t xml:space="preserve">can be </w:t>
      </w:r>
      <w:r w:rsidRPr="009943DE">
        <w:rPr>
          <w:rFonts w:cs="Times New Roman" w:hint="eastAsia"/>
          <w:color w:val="000000" w:themeColor="text1"/>
          <w:sz w:val="24"/>
          <w:szCs w:val="24"/>
        </w:rPr>
        <w:t>written</w:t>
      </w:r>
      <w:r w:rsidRPr="009943DE">
        <w:rPr>
          <w:rFonts w:cs="Times New Roman"/>
          <w:color w:val="000000" w:themeColor="text1"/>
          <w:sz w:val="24"/>
          <w:szCs w:val="24"/>
        </w:rPr>
        <w:t xml:space="preserve"> as</w:t>
      </w:r>
      <w:r w:rsidRPr="009943DE">
        <w:rPr>
          <w:rFonts w:cs="Times New Roman" w:hint="eastAsia"/>
          <w:color w:val="000000" w:themeColor="text1"/>
          <w:sz w:val="24"/>
          <w:szCs w:val="24"/>
        </w:rPr>
        <w:t>:</w:t>
      </w:r>
    </w:p>
    <w:p w14:paraId="1487C93B" w14:textId="70866E87" w:rsidR="009943DE" w:rsidRPr="009943DE" w:rsidRDefault="009943DE" w:rsidP="009943DE">
      <w:pPr>
        <w:ind w:firstLineChars="200" w:firstLine="480"/>
        <w:jc w:val="right"/>
        <w:rPr>
          <w:rFonts w:cs="Times New Roman"/>
          <w:color w:val="000000" w:themeColor="text1"/>
          <w:sz w:val="24"/>
          <w:szCs w:val="24"/>
        </w:rPr>
      </w:pPr>
      <w:r w:rsidRPr="009943DE">
        <w:rPr>
          <w:rFonts w:cs="Times New Roman"/>
          <w:color w:val="000000" w:themeColor="text1"/>
          <w:position w:val="-14"/>
          <w:sz w:val="24"/>
          <w:szCs w:val="24"/>
        </w:rPr>
        <w:object w:dxaOrig="4940" w:dyaOrig="360" w14:anchorId="087E3A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18.4pt" o:ole="">
            <v:imagedata r:id="rId6" o:title=""/>
          </v:shape>
          <o:OLEObject Type="Embed" ProgID="Equation.DSMT4" ShapeID="_x0000_i1025" DrawAspect="Content" ObjectID="_1801051911" r:id="rId7"/>
        </w:object>
      </w:r>
      <w:r w:rsidRPr="009943DE">
        <w:rPr>
          <w:rFonts w:cs="Times New Roman"/>
          <w:color w:val="000000" w:themeColor="text1"/>
          <w:sz w:val="24"/>
          <w:szCs w:val="24"/>
        </w:rPr>
        <w:t xml:space="preserve">              (1)</w:t>
      </w:r>
    </w:p>
    <w:p w14:paraId="383F8B1D" w14:textId="77777777" w:rsidR="009943DE" w:rsidRPr="009943DE" w:rsidRDefault="009943DE" w:rsidP="009943DE">
      <w:pPr>
        <w:rPr>
          <w:rFonts w:cs="Times New Roman" w:hint="eastAsia"/>
          <w:color w:val="000000" w:themeColor="text1"/>
          <w:sz w:val="24"/>
          <w:szCs w:val="24"/>
        </w:rPr>
      </w:pPr>
      <w:r w:rsidRPr="009943DE">
        <w:rPr>
          <w:rFonts w:cs="Times New Roman"/>
          <w:color w:val="000000" w:themeColor="text1"/>
          <w:sz w:val="24"/>
          <w:szCs w:val="24"/>
        </w:rPr>
        <w:t xml:space="preserve">Where the </w:t>
      </w:r>
      <w:r w:rsidRPr="009943DE">
        <w:rPr>
          <w:rFonts w:cs="Times New Roman"/>
          <w:i/>
          <w:color w:val="000000" w:themeColor="text1"/>
          <w:sz w:val="24"/>
          <w:szCs w:val="24"/>
        </w:rPr>
        <w:t>H</w:t>
      </w:r>
      <w:r w:rsidRPr="009943DE">
        <w:rPr>
          <w:rFonts w:cs="Times New Roman"/>
          <w:color w:val="000000" w:themeColor="text1"/>
          <w:sz w:val="24"/>
          <w:szCs w:val="24"/>
        </w:rPr>
        <w:t xml:space="preserve">, </w:t>
      </w:r>
      <w:r w:rsidRPr="009943DE">
        <w:rPr>
          <w:rFonts w:cs="Times New Roman"/>
          <w:i/>
          <w:color w:val="000000" w:themeColor="text1"/>
          <w:sz w:val="24"/>
          <w:szCs w:val="24"/>
        </w:rPr>
        <w:t>T</w:t>
      </w:r>
      <w:r w:rsidRPr="009943DE">
        <w:rPr>
          <w:rFonts w:cs="Times New Roman" w:hint="eastAsia"/>
          <w:i/>
          <w:color w:val="000000" w:themeColor="text1"/>
          <w:sz w:val="24"/>
          <w:szCs w:val="24"/>
        </w:rPr>
        <w:t xml:space="preserve"> </w:t>
      </w:r>
      <w:r w:rsidRPr="009943DE">
        <w:rPr>
          <w:rFonts w:cs="Times New Roman"/>
          <w:color w:val="000000" w:themeColor="text1"/>
          <w:sz w:val="24"/>
          <w:szCs w:val="24"/>
        </w:rPr>
        <w:t xml:space="preserve">and </w:t>
      </w:r>
      <w:r w:rsidRPr="009943DE">
        <w:rPr>
          <w:rFonts w:cs="Times New Roman"/>
          <w:i/>
          <w:color w:val="000000" w:themeColor="text1"/>
          <w:sz w:val="24"/>
          <w:szCs w:val="24"/>
        </w:rPr>
        <w:t>Floor</w:t>
      </w:r>
      <w:r w:rsidRPr="009943DE">
        <w:rPr>
          <w:rFonts w:cs="Times New Roman"/>
          <w:color w:val="000000" w:themeColor="text1"/>
          <w:sz w:val="24"/>
          <w:szCs w:val="24"/>
        </w:rPr>
        <w:t xml:space="preserve"> can be obtained from the Table S4. Due the selected area belongs to the same seismic</w:t>
      </w:r>
      <w:r w:rsidRPr="009943DE">
        <w:rPr>
          <w:color w:val="000000" w:themeColor="text1"/>
          <w:sz w:val="24"/>
          <w:szCs w:val="24"/>
        </w:rPr>
        <w:t xml:space="preserve"> </w:t>
      </w:r>
      <w:r w:rsidRPr="009943DE">
        <w:rPr>
          <w:rFonts w:cs="Times New Roman"/>
          <w:color w:val="000000" w:themeColor="text1"/>
          <w:sz w:val="24"/>
          <w:szCs w:val="24"/>
        </w:rPr>
        <w:t xml:space="preserve">fortification intensity area, the </w:t>
      </w:r>
      <w:proofErr w:type="spellStart"/>
      <w:r w:rsidRPr="009943DE">
        <w:rPr>
          <w:rFonts w:cs="Times New Roman"/>
          <w:i/>
          <w:color w:val="000000" w:themeColor="text1"/>
          <w:sz w:val="24"/>
          <w:szCs w:val="24"/>
        </w:rPr>
        <w:t>Tg</w:t>
      </w:r>
      <w:proofErr w:type="spellEnd"/>
      <w:r w:rsidRPr="009943DE">
        <w:rPr>
          <w:rFonts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943DE">
        <w:rPr>
          <w:rFonts w:cs="Times New Roman"/>
          <w:i/>
          <w:color w:val="000000" w:themeColor="text1"/>
          <w:sz w:val="24"/>
          <w:szCs w:val="24"/>
        </w:rPr>
        <w:t>a</w:t>
      </w:r>
      <w:r w:rsidRPr="009943DE">
        <w:rPr>
          <w:rFonts w:cs="Times New Roman"/>
          <w:i/>
          <w:color w:val="000000" w:themeColor="text1"/>
          <w:sz w:val="24"/>
          <w:szCs w:val="24"/>
          <w:vertAlign w:val="subscript"/>
        </w:rPr>
        <w:t>max</w:t>
      </w:r>
      <w:proofErr w:type="spellEnd"/>
      <w:r w:rsidRPr="009943DE">
        <w:rPr>
          <w:rFonts w:cs="Times New Roman"/>
          <w:color w:val="000000" w:themeColor="text1"/>
          <w:sz w:val="24"/>
          <w:szCs w:val="24"/>
        </w:rPr>
        <w:t xml:space="preserve"> are the fixed value (i.e. </w:t>
      </w:r>
      <w:proofErr w:type="spellStart"/>
      <w:r w:rsidRPr="009943DE">
        <w:rPr>
          <w:rFonts w:cs="Times New Roman"/>
          <w:i/>
          <w:color w:val="000000" w:themeColor="text1"/>
          <w:sz w:val="24"/>
          <w:szCs w:val="24"/>
        </w:rPr>
        <w:t>T</w:t>
      </w:r>
      <w:r w:rsidRPr="009943DE">
        <w:rPr>
          <w:rFonts w:cs="Times New Roman"/>
          <w:color w:val="000000" w:themeColor="text1"/>
          <w:sz w:val="24"/>
          <w:szCs w:val="24"/>
          <w:vertAlign w:val="subscript"/>
        </w:rPr>
        <w:t>g</w:t>
      </w:r>
      <w:proofErr w:type="spellEnd"/>
      <w:r w:rsidRPr="009943DE">
        <w:rPr>
          <w:rFonts w:cs="Times New Roman"/>
          <w:color w:val="000000" w:themeColor="text1"/>
          <w:sz w:val="24"/>
          <w:szCs w:val="24"/>
        </w:rPr>
        <w:t xml:space="preserve">=0.4, </w:t>
      </w:r>
      <w:proofErr w:type="spellStart"/>
      <w:r w:rsidRPr="009943DE">
        <w:rPr>
          <w:rFonts w:cs="Times New Roman"/>
          <w:i/>
          <w:color w:val="000000" w:themeColor="text1"/>
          <w:sz w:val="24"/>
          <w:szCs w:val="24"/>
        </w:rPr>
        <w:t>a</w:t>
      </w:r>
      <w:r w:rsidRPr="009943DE">
        <w:rPr>
          <w:rFonts w:cs="Times New Roman"/>
          <w:color w:val="000000" w:themeColor="text1"/>
          <w:sz w:val="24"/>
          <w:szCs w:val="24"/>
          <w:vertAlign w:val="subscript"/>
        </w:rPr>
        <w:t>max</w:t>
      </w:r>
      <w:proofErr w:type="spellEnd"/>
      <w:r w:rsidRPr="009943DE">
        <w:rPr>
          <w:rFonts w:cs="Times New Roman"/>
          <w:color w:val="000000" w:themeColor="text1"/>
          <w:sz w:val="24"/>
          <w:szCs w:val="24"/>
        </w:rPr>
        <w:t>=0.23). Combined with the determined intensity measure (IM) calculated from the simulated ground motion, the damage can be predicted.</w:t>
      </w:r>
    </w:p>
    <w:p w14:paraId="02FF8CA4" w14:textId="77777777" w:rsidR="002C2FA8" w:rsidRPr="009943DE" w:rsidRDefault="002C2FA8" w:rsidP="009943DE">
      <w:pPr>
        <w:rPr>
          <w:color w:val="000000" w:themeColor="text1"/>
        </w:rPr>
      </w:pPr>
      <w:bookmarkStart w:id="0" w:name="_GoBack"/>
      <w:bookmarkEnd w:id="0"/>
    </w:p>
    <w:sectPr w:rsidR="002C2FA8" w:rsidRPr="00994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36753" w14:textId="77777777" w:rsidR="00356D07" w:rsidRDefault="00356D07" w:rsidP="009943DE">
      <w:pPr>
        <w:spacing w:line="240" w:lineRule="auto"/>
      </w:pPr>
      <w:r>
        <w:separator/>
      </w:r>
    </w:p>
  </w:endnote>
  <w:endnote w:type="continuationSeparator" w:id="0">
    <w:p w14:paraId="1A596519" w14:textId="77777777" w:rsidR="00356D07" w:rsidRDefault="00356D07" w:rsidP="009943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F3057" w14:textId="77777777" w:rsidR="00356D07" w:rsidRDefault="00356D07" w:rsidP="009943DE">
      <w:pPr>
        <w:spacing w:line="240" w:lineRule="auto"/>
      </w:pPr>
      <w:r>
        <w:separator/>
      </w:r>
    </w:p>
  </w:footnote>
  <w:footnote w:type="continuationSeparator" w:id="0">
    <w:p w14:paraId="1CD24642" w14:textId="77777777" w:rsidR="00356D07" w:rsidRDefault="00356D07" w:rsidP="009943D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40"/>
    <w:rsid w:val="002C2FA8"/>
    <w:rsid w:val="00356D07"/>
    <w:rsid w:val="00732C07"/>
    <w:rsid w:val="009943DE"/>
    <w:rsid w:val="009B3894"/>
    <w:rsid w:val="00C2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6FB96"/>
  <w15:chartTrackingRefBased/>
  <w15:docId w15:val="{3958BC68-03C2-4F7C-A329-8EBBC675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43DE"/>
    <w:pPr>
      <w:widowControl w:val="0"/>
      <w:spacing w:line="300" w:lineRule="auto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3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43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43D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43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391</Characters>
  <Application>Microsoft Office Word</Application>
  <DocSecurity>0</DocSecurity>
  <Lines>10</Lines>
  <Paragraphs>5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Zhang</dc:creator>
  <cp:keywords/>
  <dc:description/>
  <cp:lastModifiedBy>Hui Zhang</cp:lastModifiedBy>
  <cp:revision>2</cp:revision>
  <dcterms:created xsi:type="dcterms:W3CDTF">2025-02-14T06:33:00Z</dcterms:created>
  <dcterms:modified xsi:type="dcterms:W3CDTF">2025-02-14T06:33:00Z</dcterms:modified>
</cp:coreProperties>
</file>