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TSong" w:hAnsi="STSong" w:eastAsia="STSong" w:cs="STSong" w:hint="eastAsia"/>
          <w:b/>
          <w:i w:val="0"/>
          <w:color w:val="202020"/>
          <w:sz w:val="44"/>
          <w:lang w:val="zh-CN" w:eastAsia="zh-CN" w:bidi="ar-SA"/>
        </w:rPr>
        <w:t>NeoWorker 使用 Hermes Harness 的开放计划</w:t>
      </w:r>
    </w:p>
    <w:p>
      <w:pPr>
        <w:spacing w:before="0" w:after="240" w:line="264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3"/>
          <w:lang w:val="zh-CN" w:eastAsia="zh-CN" w:bidi="ar-SA"/>
        </w:rPr>
        <w:t>技术策略草案 面向分阶段验证与评审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/>
        </w:trPr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9"/>
                <w:lang w:val="zh-CN" w:eastAsia="zh-CN" w:bidi="ar-SA"/>
              </w:rPr>
              <w:t>项目</w:t>
            </w:r>
          </w:p>
        </w:tc>
        <w:tc>
          <w:tcPr>
            <w:tcW w:type="dxa" w:w="82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9"/>
                <w:lang w:val="zh-CN" w:eastAsia="zh-CN" w:bidi="ar-SA"/>
              </w:rPr>
              <w:t>内容</w:t>
            </w:r>
          </w:p>
        </w:tc>
      </w:tr>
      <w:tr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文档状态</w:t>
            </w:r>
          </w:p>
        </w:tc>
        <w:tc>
          <w:tcPr>
            <w:tcW w:type="dxa" w:w="82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开放草案，可根据评测和产品反馈调整</w:t>
            </w:r>
          </w:p>
        </w:tc>
      </w:tr>
      <w:tr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日期</w:t>
            </w:r>
          </w:p>
        </w:tc>
        <w:tc>
          <w:tcPr>
            <w:tcW w:type="dxa" w:w="82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2026年9月11日</w:t>
            </w:r>
          </w:p>
        </w:tc>
      </w:tr>
      <w:tr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适用范围</w:t>
            </w:r>
          </w:p>
        </w:tc>
        <w:tc>
          <w:tcPr>
            <w:tcW w:type="dxa" w:w="82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NeoWorker-huifu 的 Agent Runtime、工具执行和任务交付链</w:t>
            </w:r>
          </w:p>
        </w:tc>
      </w:tr>
      <w:tr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核心建议</w:t>
            </w:r>
          </w:p>
        </w:tc>
        <w:tc>
          <w:tcPr>
            <w:tcW w:type="dxa" w:w="82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9"/>
                <w:lang w:val="zh-CN" w:eastAsia="zh-CN" w:bidi="ar-SA"/>
              </w:rPr>
              <w:t>优先采用 Hermes ACP Harness；由 NeoWorker 保留工具、副作用和任务治理权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一 结论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建议把 Hermes ACP Harness 逐步作为 NeoWorker 处理复杂 Agent 任务的首选执行引擎，同时保留 NeoWorker 原生 Runtime 作为快速路径。Hermes 负责 Agent Loop、规划和多步推进，NeoWorker 负责工具筛选、权限审批、沙箱、任务状态、证据记录和最终交付。这个组合既能吸收 Hermes 的执行能力，也能保留 NeoWorker 对本地副作用的控制。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这是一项可行的增量改造，不需要重写 NeoWorker 的工具体系。当前代码已经具备 Hermes ACP 适配、任务级 MCP Tool Host、权限桥接、checkpoint、暂停恢复和宿主工具多步验收能力。尚未完成的部分主要是产品路由、运行时可见性、能力覆盖评测，以及把当前的“显式 opt-in”推进成可控的 Auto 模式。</w:t>
      </w: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关键判断：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“尽可能使用 Hermes”应理解为尽可能使用 Hermes 的 Agent Loop 和 Harness 能力，而不是把 Hermes 原生文件、Shell 和进程工具直接放回生产路径。生产任务的副作用仍应统一经过 NeoWorker Tool Host。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二 当前事实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NeoWorker 目前存在三种 Hermes 相关接入方式。它们的执行语义不同，不能只看 Provider 名称或 OpenAI-compatible 接口来判断是否真正使用了 Hermes Harness。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接入方式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谁运行 Agent Loop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谁执行本地副作用</w:t>
            </w:r>
          </w:p>
        </w:tc>
        <w:tc>
          <w:tcPr>
            <w:tcW w:type="dxa" w:w="35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适合的定位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 Agent 8642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</w:t>
            </w:r>
          </w:p>
        </w:tc>
        <w:tc>
          <w:tcPr>
            <w:tcW w:type="dxa" w:w="35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完整 Hermes 外部 Runtime，NeoWorker 不拥有副作用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 Model Proxy 8645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</w:t>
            </w:r>
          </w:p>
        </w:tc>
        <w:tc>
          <w:tcPr>
            <w:tcW w:type="dxa" w:w="35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模型凭据转发，不等于 Hermes Harness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 ACP 适配器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 Tool Host</w:t>
            </w:r>
          </w:p>
        </w:tc>
        <w:tc>
          <w:tcPr>
            <w:tcW w:type="dxa" w:w="35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推荐的生产桥接路径</w:t>
            </w:r>
          </w:p>
        </w:tc>
      </w:tr>
    </w:tbl>
    <w:p>
      <w:pPr>
        <w:spacing w:after="40"/>
      </w:pP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从当前本地任务数据看，普通任务仍然没有进入 Hermes：已检查的任务中没有带有 Hermes external runtime 的任务，之前的航班查询也走的是 NeoWorker 原生 SessionRuntime。因此，之前截图中的差异更准确地说明“产品默认路由还没有启用 Hermes”，而不是说明 Hermes ACP 适配本身不可用。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另一方面，仓库中的专项验证已经证明 ACP 宿主工具链可以工作：本机 Hermes Agent v0.18.0 能通过 NeoWorker Tool Host 完成 write_file 和 run_command，审批、工具生命周期、checkpoint 和结果边界均有验证。当前状态可以概括为：集成基础已具备，产品采用率仍接近零。</w:t>
      </w:r>
    </w:p>
    <w:p>
      <w:pPr>
        <w:spacing w:before="0" w:after="100" w:line="269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18"/>
          <w:lang w:val="zh-CN" w:eastAsia="zh-CN" w:bidi="ar-SA"/>
        </w:rPr>
        <w:t>依据：docs/hermes-runtime.md、docs/hermes-tool-ownership-audit.md 和 docs/hermes-test-report.md。上述文件记录了接入方式、工具所有权以及专项验证范围。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三 目标状态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目标状态不是让两个 Runtime 互相覆盖，而是让它们形成清晰的分工。NeoWorker 负责“任务和工具的边界”，Hermes 负责“如何把复杂任务推进到完成”。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能力层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建议归属</w:t>
            </w:r>
          </w:p>
        </w:tc>
        <w:tc>
          <w:tcPr>
            <w:tcW w:type="dxa" w:w="52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目标行为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Agent Loop 和任务规划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 ACP</w:t>
            </w:r>
          </w:p>
        </w:tc>
        <w:tc>
          <w:tcPr>
            <w:tcW w:type="dxa" w:w="52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 负责拆解目标、选择下一步、持续推进和处理工具结果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工具目录和任务级筛选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</w:t>
            </w:r>
          </w:p>
        </w:tc>
        <w:tc>
          <w:tcPr>
            <w:tcW w:type="dxa" w:w="52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只向 Hermes 暴露当前任务获准使用的工具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文件、Shell、Office 和其他副作用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</w:t>
            </w:r>
          </w:p>
        </w:tc>
        <w:tc>
          <w:tcPr>
            <w:tcW w:type="dxa" w:w="52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所有执行经过现有 Tool Host、审批、沙箱、超时和日志链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任务状态和恢复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 主导，Hermes 提供 session</w:t>
            </w:r>
          </w:p>
        </w:tc>
        <w:tc>
          <w:tcPr>
            <w:tcW w:type="dxa" w:w="52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任务可暂停、恢复、重试，未知副作用必须显式确认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用户界面和运行时状态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</w:t>
            </w:r>
          </w:p>
        </w:tc>
        <w:tc>
          <w:tcPr>
            <w:tcW w:type="dxa" w:w="52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明确显示 Native、Hermes Active、Fallback 或 Failed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最终交付校验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NeoWorker</w:t>
            </w:r>
          </w:p>
        </w:tc>
        <w:tc>
          <w:tcPr>
            <w:tcW w:type="dxa" w:w="52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文件类任务只有在产物存在、可解析和通过基础检查后才能完成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四 运行模式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建议在任务级别引入三种运行模式。模式必须持久化，并在任务时间线上留下可查询的运行时事件，避免用户根据界面猜测任务到底由谁执行。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模式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默认行为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适用情况</w:t>
            </w:r>
          </w:p>
        </w:tc>
        <w:tc>
          <w:tcPr>
            <w:tcW w:type="dxa" w:w="2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8"/>
                <w:lang w:val="zh-CN" w:eastAsia="zh-CN" w:bidi="ar-SA"/>
              </w:rPr>
              <w:t>失败处理</w:t>
            </w:r>
          </w:p>
        </w:tc>
      </w:tr>
      <w:t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Auto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根据任务特征自动选择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复杂查询、网页研究、代码和多步文件任务优先 Hermes</w:t>
            </w:r>
          </w:p>
        </w:tc>
        <w:tc>
          <w:tcPr>
            <w:tcW w:type="dxa" w:w="2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低风险任务可按策略降级；必须记录原因</w:t>
            </w:r>
          </w:p>
        </w:tc>
      </w:tr>
      <w:t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Hermes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强制走 Hermes ACP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用户明确要求 Hermes，或任务需要 Hermes 的多步执行能力</w:t>
            </w:r>
          </w:p>
        </w:tc>
        <w:tc>
          <w:tcPr>
            <w:tcW w:type="dxa" w:w="2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不允许静默降级；启动失败应明确显示</w:t>
            </w:r>
          </w:p>
        </w:tc>
      </w:tr>
      <w:t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Native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走 NeoWorker 原生 Runtime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简单问答、单步操作、确定性工作流和调试场景</w:t>
            </w:r>
          </w:p>
        </w:tc>
        <w:tc>
          <w:tcPr>
            <w:tcW w:type="dxa" w:w="2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8"/>
                <w:lang w:val="zh-CN" w:eastAsia="zh-CN" w:bidi="ar-SA"/>
              </w:rPr>
              <w:t>保持现有原生错误和恢复语义</w:t>
            </w:r>
          </w:p>
        </w:tc>
      </w:tr>
    </w:tbl>
    <w:p>
      <w:pPr>
        <w:spacing w:after="40"/>
      </w:pP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路由原则：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先按任务复杂度和工具数量判断，再结合工具类型、用户选择和历史失败情况修正。模型供应商或 Provider 名称不能作为“是否使用 Hermes Harness”的唯一信号。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五 任务路由建议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/>
        </w:trP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任务类型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建议 Runtime</w:t>
            </w:r>
          </w:p>
        </w:tc>
        <w:tc>
          <w:tcPr>
            <w:tcW w:type="dxa" w:w="54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原因和边界</w:t>
            </w:r>
          </w:p>
        </w:tc>
      </w:tr>
      <w:t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网页查询和结构化数据采集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Hermes ACP</w:t>
            </w:r>
          </w:p>
        </w:tc>
        <w:tc>
          <w:tcPr>
            <w:tcW w:type="dxa" w:w="54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需要搜索、抓取、解析、去重、校验和总结等连续步骤</w:t>
            </w:r>
          </w:p>
        </w:tc>
      </w:tr>
      <w:t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代码、终端和调试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Hermes ACP</w:t>
            </w:r>
          </w:p>
        </w:tc>
        <w:tc>
          <w:tcPr>
            <w:tcW w:type="dxa" w:w="54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适合 Hermes 的计划、试错和结果反馈；命令仍由 NeoWorker 执行</w:t>
            </w:r>
          </w:p>
        </w:tc>
      </w:tr>
      <w:t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PPT、Word 和其他 Office 多步任务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Hermes ACP</w:t>
            </w:r>
          </w:p>
        </w:tc>
        <w:tc>
          <w:tcPr>
            <w:tcW w:type="dxa" w:w="54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适合先理解模板、再修改、再检查；必须增加产物完成门禁</w:t>
            </w:r>
          </w:p>
        </w:tc>
      </w:tr>
      <w:t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简单问答和短文本改写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Native</w:t>
            </w:r>
          </w:p>
        </w:tc>
        <w:tc>
          <w:tcPr>
            <w:tcW w:type="dxa" w:w="54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减少启动开销，避免把简单请求送入长 Agent Loop</w:t>
            </w:r>
          </w:p>
        </w:tc>
      </w:tr>
      <w:t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单次确定性工具调用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Native 或 Auto</w:t>
            </w:r>
          </w:p>
        </w:tc>
        <w:tc>
          <w:tcPr>
            <w:tcW w:type="dxa" w:w="54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由响应时间和审批策略决定</w:t>
            </w:r>
          </w:p>
        </w:tc>
      </w:tr>
      <w:t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依赖 Hermes 原生 Memory、Project Plugin 或特殊 Toolset 的任务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先进入试验区</w:t>
            </w:r>
          </w:p>
        </w:tc>
        <w:tc>
          <w:tcPr>
            <w:tcW w:type="dxa" w:w="54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当前宿主包装器会关闭这些能力，需先完成能力映射和所有权评估</w:t>
            </w:r>
          </w:p>
        </w:tc>
      </w:tr>
    </w:tbl>
    <w:p>
      <w:pPr>
        <w:spacing w:after="40"/>
      </w:pP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PPT 截图暴露出的“工具调用已经结束，但回答仍停在准备读取模板”属于另一个需要单独修复的问题：它可能是任务终态、产物校验或输出可见性问题，不能简单归因于是否使用 Hermes。无论 Runtime 选择什么，Office 任务都应在标记完成前验证最终文件。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六 分阶段开放计划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下面的阶段按风险从低到高排列。每一阶段都有明确的产出和退出条件；如果评测结果不理想，可以停留在当前阶段，不必一次性做全量切换。</w:t>
      </w:r>
    </w:p>
    <w:p>
      <w:pPr>
        <w:pStyle w:val="Heading2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3"/>
          <w:lang w:val="zh-CN" w:eastAsia="zh-CN" w:bidi="ar-SA"/>
        </w:rPr>
        <w:t>阶段 0 建立可见性和运行时契约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先让用户和开发者能准确知道每个任务使用了什么 Runtime，以及任务为什么选择这条路径。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在任务设置或新建任务界面提供 Auto、Hermes、Native 三种模式，并把选择写入任务配置。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时间线显示 Hermes Active、Native Active、Fallback 和 Failed 等明确状态；记录 external runtime、Hermes 版本和宿主工具模式。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Hermes 模式启动失败时不静默切换到 Native。Auto 模式可以降级，但必须记录触发原因和是否已经发生工具副作用。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建立统一的完成契约，特别是 Office 文件任务必须通过文件存在、大小、解析和必要的预览检查。</w:t>
      </w: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退出条件：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用户可以从任务记录中确认实际 Runtime；强制 Hermes 任务不会被误标为 Native；失败和降级可追溯。</w:t>
      </w:r>
    </w:p>
    <w:p>
      <w:pPr>
        <w:pStyle w:val="Heading2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3"/>
          <w:lang w:val="zh-CN" w:eastAsia="zh-CN" w:bidi="ar-SA"/>
        </w:rPr>
        <w:t>阶段 1 让复杂任务默认进入 Hermes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在不改变所有任务默认行为的前提下，先把 Hermes 用在最能体现差异的任务类型。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建立最小路由器：多工具、网页研究、结构化采集、代码调试和多步 Office 任务进入 Hermes ACP。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保留 Native 作为简单任务的快速路径，避免所有短请求承担 ACP 启动和会话开销。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为 Hermes 任务设置并发、超时、取消和资源上限；继续复用现有 Tool Host、审批、沙箱和日志。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收集真实任务样本，优先覆盖航班查询、网页抓取、代码修改、PPT 模板填充和文件整理。</w:t>
      </w: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退出条件：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候选任务的 Hermes 成功率、完成质量、耗时和用户修正成本不劣于 Native；没有未记录的本地副作用。具体数值在阶段 0 建立基线后确定。</w:t>
      </w:r>
    </w:p>
    <w:p>
      <w:pPr>
        <w:pStyle w:val="Heading2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3"/>
          <w:lang w:val="zh-CN" w:eastAsia="zh-CN" w:bidi="ar-SA"/>
        </w:rPr>
        <w:t>阶段 2 补齐 Hermes 能力覆盖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当前包装器为了保证工具所有权，会关闭 Hermes workspace context、memory、project plugins 和 inherited kanban。阶段 2 要逐项判断哪些能力值得恢复，哪些能力应该由 NeoWorker 提供等价实现。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建立 Hermes 能力清单，区分 Agent Loop 能力、上下文能力、Memory 能力、插件能力和原生副作用工具。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优先把可治理的上下文和记忆能力接入 NeoWorker，而不是直接开放 Hermes 的本地副作用工具。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为每项新增能力写明数据来源、权限边界、任务范围、审计字段和恢复语义。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保留版本固定和 fail-closed 策略，在 Hermes 版本升级后重新运行 ACP、宿主工具、Windows Shell 和安装包 smoke。</w:t>
      </w: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退出条件：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需要 Hermes 能力的目标任务可以通过 NeoWorker 公开的治理接口获得相同或足够接近的结果，且所有权和恢复边界仍然清楚。</w:t>
      </w:r>
    </w:p>
    <w:p>
      <w:pPr>
        <w:pStyle w:val="Heading2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3"/>
          <w:lang w:val="zh-CN" w:eastAsia="zh-CN" w:bidi="ar-SA"/>
        </w:rPr>
        <w:t>阶段 3 扩大默认覆盖并优化体验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当路由和能力覆盖稳定后，再把 Hermes 从“复杂任务优先”扩大为更普遍的默认体验。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根据评测结果调整 Auto 路由，允许用户按任务类型或工作区设置偏好。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继续利用 ACP 热会话、checkpoint 和受控重试，减少连续任务的启动开销。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把 Hermes 运行状态、工具审批、降级和产物检查统一成同一套任务视图。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将 Hermes 版本、模型、宿主工具协议和安装包 smoke 纳入固定发布门禁。</w:t>
      </w: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退出条件：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Hermes 成为复杂 Agent 任务的稳定默认路径，Native 仍能处理简单和特殊场景，用户能清楚理解两者差异。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七 评测和发布门槛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这项改造不能只用“能否启动 Hermes”来验收。核心问题是：任务是否完成得更好，副作用是否仍然受 NeoWorker 控制，用户是否能看懂运行时状态。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指标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需要观察的结果</w:t>
            </w:r>
          </w:p>
        </w:tc>
        <w:tc>
          <w:tcPr>
            <w:tcW w:type="dxa" w:w="24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最低门槛</w:t>
            </w:r>
          </w:p>
        </w:tc>
      </w:tr>
      <w:t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Runtime 真实性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任务实际进入的 Runtime 与界面和事件记录一致</w:t>
            </w:r>
          </w:p>
        </w:tc>
        <w:tc>
          <w:tcPr>
            <w:tcW w:type="dxa" w:w="24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强制 Hermes 无法被静默替换</w:t>
            </w:r>
          </w:p>
        </w:tc>
      </w:tr>
      <w:t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工具所有权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文件、Shell、Office 等副作用都能关联到 NeoWorker Tool Host</w:t>
            </w:r>
          </w:p>
        </w:tc>
        <w:tc>
          <w:tcPr>
            <w:tcW w:type="dxa" w:w="24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零未知工具调用，零未记录副作用</w:t>
            </w:r>
          </w:p>
        </w:tc>
      </w:tr>
      <w:t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任务完成质量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结果完整、准确、结构清楚，能通过用户验收</w:t>
            </w:r>
          </w:p>
        </w:tc>
        <w:tc>
          <w:tcPr>
            <w:tcW w:type="dxa" w:w="24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不低于 Native 基线；复杂任务单独比较</w:t>
            </w:r>
          </w:p>
        </w:tc>
      </w:tr>
      <w:t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产物可靠性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生成的 DOCX、PPTX 等文件存在且可解析</w:t>
            </w:r>
          </w:p>
        </w:tc>
        <w:tc>
          <w:tcPr>
            <w:tcW w:type="dxa" w:w="24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未通过产物检查不得标记完成</w:t>
            </w:r>
          </w:p>
        </w:tc>
      </w:tr>
      <w:t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恢复安全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暂停、取消、重试和重启不会自动重放未知副作用</w:t>
            </w:r>
          </w:p>
        </w:tc>
        <w:tc>
          <w:tcPr>
            <w:tcW w:type="dxa" w:w="24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需要显式确认，且 checkpoint 可追踪</w:t>
            </w:r>
          </w:p>
        </w:tc>
      </w:tr>
      <w:t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体验和效率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首字节、总耗时、工具审批次数和模型成本可比较</w:t>
            </w:r>
          </w:p>
        </w:tc>
        <w:tc>
          <w:tcPr>
            <w:tcW w:type="dxa" w:w="24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建立基线后设定可接受范围</w:t>
            </w:r>
          </w:p>
        </w:tc>
      </w:tr>
    </w:tbl>
    <w:p>
      <w:pPr>
        <w:spacing w:after="40"/>
      </w:pP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建议评测集：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至少包含网页结构化采集、航班或商品查询、代码修改与测试、PPT 模板填充、Word 内容整理、文件批处理和需要审批的 Shell 操作。每类任务都应有 Native 与 Hermes ACP 的可比样本。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八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风险</w:t>
            </w:r>
          </w:p>
        </w:tc>
        <w:tc>
          <w:tcPr>
            <w:tcW w:type="dxa" w:w="44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表现</w:t>
            </w:r>
          </w:p>
        </w:tc>
        <w:tc>
          <w:tcPr>
            <w:tcW w:type="dxa" w:w="3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243B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FFFFFF"/>
                <w:sz w:val="17"/>
                <w:lang w:val="zh-CN" w:eastAsia="zh-CN" w:bidi="ar-SA"/>
              </w:rPr>
              <w:t>应对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能力不完全等价</w:t>
            </w:r>
          </w:p>
        </w:tc>
        <w:tc>
          <w:tcPr>
            <w:tcW w:type="dxa" w:w="44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当前包装器关闭 Hermes 的部分上下文、Memory 和插件能力</w:t>
            </w:r>
          </w:p>
        </w:tc>
        <w:tc>
          <w:tcPr>
            <w:tcW w:type="dxa" w:w="3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先建立能力清单，按价值和治理成本逐项迁移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运行时误判</w:t>
            </w:r>
          </w:p>
        </w:tc>
        <w:tc>
          <w:tcPr>
            <w:tcW w:type="dxa" w:w="44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用户以为用了 Hermes，实际任务走了 Native 或静默降级</w:t>
            </w:r>
          </w:p>
        </w:tc>
        <w:tc>
          <w:tcPr>
            <w:tcW w:type="dxa" w:w="3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运行模式持久化，时间线显示，强制模式禁止静默降级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工具所有权混乱</w:t>
            </w:r>
          </w:p>
        </w:tc>
        <w:tc>
          <w:tcPr>
            <w:tcW w:type="dxa" w:w="44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8642 或原生 ACP toolset 直接执行 Hermes 工具</w:t>
            </w:r>
          </w:p>
        </w:tc>
        <w:tc>
          <w:tcPr>
            <w:tcW w:type="dxa" w:w="3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生产默认使用 ACP 宿主工具模式，副作用统一进入 NeoWorker Tool Host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版本耦合</w:t>
            </w:r>
          </w:p>
        </w:tc>
        <w:tc>
          <w:tcPr>
            <w:tcW w:type="dxa" w:w="44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当前要求 hermes-agent 0.18.0，升级可能改变 ACP 合同</w:t>
            </w:r>
          </w:p>
        </w:tc>
        <w:tc>
          <w:tcPr>
            <w:tcW w:type="dxa" w:w="3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版本固定、fail-closed、升级后专项回归和安装包 smoke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结果质量误归因</w:t>
            </w:r>
          </w:p>
        </w:tc>
        <w:tc>
          <w:tcPr>
            <w:tcW w:type="dxa" w:w="44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模型、Prompt、数据源或工具差异被误认为 Harness 差异</w:t>
            </w:r>
          </w:p>
        </w:tc>
        <w:tc>
          <w:tcPr>
            <w:tcW w:type="dxa" w:w="3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A/B 评测尽量固定模型、输入、工具目录和数据条件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Office 任务终态不可靠</w:t>
            </w:r>
          </w:p>
        </w:tc>
        <w:tc>
          <w:tcPr>
            <w:tcW w:type="dxa" w:w="44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工具调用完成但文件未生成或最终回答未收口</w:t>
            </w:r>
          </w:p>
        </w:tc>
        <w:tc>
          <w:tcPr>
            <w:tcW w:type="dxa" w:w="3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fill="EAF1F7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Lines/>
              <w:spacing w:before="0" w:after="0" w:line="259" w:lineRule="auto"/>
              <w:ind w:left="0" w:firstLine="0"/>
              <w:jc w:val="left"/>
            </w:pPr>
            <w:r>
              <w:rPr>
                <w:rFonts w:ascii="STSong" w:hAnsi="STSong" w:eastAsia="STSong" w:cs="STSong" w:hint="eastAsia"/>
                <w:b w:val="0"/>
                <w:i w:val="0"/>
                <w:color w:val="202020"/>
                <w:sz w:val="17"/>
                <w:lang w:val="zh-CN" w:eastAsia="zh-CN" w:bidi="ar-SA"/>
              </w:rPr>
              <w:t>增加产物校验和统一终态收口，Runtime 无关地执行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九 待确认事项</w:t>
      </w:r>
    </w:p>
    <w:p>
      <w:pPr>
        <w:pStyle w:val="ListNumber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NeoWorker 的默认体验是 Auto 优先，还是对所有新任务默认启用 Hermes？建议先选择 Auto。</w:t>
      </w:r>
    </w:p>
    <w:p>
      <w:pPr>
        <w:pStyle w:val="ListNumber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哪些任务需要用户强制使用 Hermes？建议至少包括复杂研究、网页采集、代码调试和多步 Office 任务。</w:t>
      </w:r>
    </w:p>
    <w:p>
      <w:pPr>
        <w:pStyle w:val="ListNumber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Hermes 的 Memory、workspace context 和 project plugins 中，哪些能力是必须保留的？哪些可以由 NeoWorker 提供等价接口？</w:t>
      </w:r>
    </w:p>
    <w:p>
      <w:pPr>
        <w:pStyle w:val="ListNumber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Hermes 运行失败时，Auto 模式是否允许降级？允许降级的条件需要与“已经发生副作用”绑定。</w:t>
      </w:r>
    </w:p>
    <w:p>
      <w:pPr>
        <w:pStyle w:val="ListNumber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模型和 Provider 是否在 A/B 评测中固定？如果不固定，需要把模型差异单独记录，避免把模型效果算到 Harness 上。</w:t>
      </w:r>
    </w:p>
    <w:p>
      <w:pPr>
        <w:pStyle w:val="ListNumber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是否把 Hermes 版本升级设为独立发布门禁？当前建议把 `hermes-agent==0.18.0` 作为明确的运行时依赖，升级必须重新验收。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十 建议的第一批工作</w:t>
      </w:r>
    </w:p>
    <w:p>
      <w:pPr>
        <w:keepLines/>
        <w:spacing w:before="0" w:after="120" w:line="288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第一批工作不必扩大 Hermes 的能力边界，先把已经接通的能力变成用户可选择、系统可观察、失败可解释的产品路径。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实现任务级 Runtime 选择和配置持久化。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增加 Hermes Active、Native Active、Fallback 和 Failed 的时间线事件及 UI 标识。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实现 Auto 路由的最小版本，先覆盖多工具任务、网页研究、代码调试和多步 Office。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为强制 Hermes 任务关闭静默 fallback；为 Auto 任务记录降级原因。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建立第一版 A/B 评测集，并把航班查询和 PPT 模板任务纳入产物校验。</w:t>
      </w:r>
    </w:p>
    <w:p>
      <w:pPr>
        <w:pStyle w:val="ListBullet"/>
        <w:keepLines/>
        <w:spacing w:before="0" w:after="60" w:line="276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在本地和 CI 中继续保留 ACP、Tool Host、审批、Shell、checkpoint、Windows 和安装包验证。</w:t>
      </w:r>
    </w:p>
    <w:p>
      <w:pPr>
        <w:keepLines/>
        <w:spacing w:before="0" w:after="100" w:line="283" w:lineRule="auto"/>
        <w:ind w:left="0" w:firstLine="0"/>
      </w:pPr>
      <w:r>
        <w:rPr>
          <w:rFonts w:ascii="STSong" w:hAnsi="STSong" w:eastAsia="STSong" w:cs="STSong" w:hint="eastAsia"/>
          <w:b/>
          <w:i w:val="0"/>
          <w:color w:val="202020"/>
          <w:sz w:val="21"/>
          <w:lang w:val="zh-CN" w:eastAsia="zh-CN" w:bidi="ar-SA"/>
        </w:rPr>
        <w:t>第一阶段的判断标准：</w:t>
      </w:r>
      <w:r>
        <w:rPr>
          <w:rFonts w:ascii="STSong" w:hAnsi="STSong" w:eastAsia="STSong" w:cs="STSong" w:hint="eastAsia"/>
          <w:b w:val="0"/>
          <w:i w:val="0"/>
          <w:color w:val="202020"/>
          <w:sz w:val="21"/>
          <w:lang w:val="zh-CN" w:eastAsia="zh-CN" w:bidi="ar-SA"/>
        </w:rPr>
        <w:t>用户能够明确知道任务是否真正使用 Hermes，复杂任务能够稳定经过 Hermes Agent Loop，NeoWorker 仍然拥有所有工具副作用，并且任何失败或降级都不会被伪装成成功。</w:t>
      </w:r>
    </w:p>
    <w:p>
      <w:pPr>
        <w:pStyle w:val="Heading1"/>
        <w:keepNext/>
        <w:keepLines/>
      </w:pPr>
      <w:r>
        <w:rPr>
          <w:rFonts w:ascii="STSong" w:hAnsi="STSong" w:eastAsia="STSong" w:cs="STSong" w:hint="eastAsia"/>
          <w:b/>
          <w:i w:val="0"/>
          <w:color w:val="202020"/>
          <w:sz w:val="28"/>
          <w:lang w:val="zh-CN" w:eastAsia="zh-CN" w:bidi="ar-SA"/>
        </w:rPr>
        <w:t>附录 依据文件</w:t>
      </w:r>
    </w:p>
    <w:p>
      <w:pPr>
        <w:spacing w:before="0" w:after="100" w:line="269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18"/>
          <w:lang w:val="zh-CN" w:eastAsia="zh-CN" w:bidi="ar-SA"/>
        </w:rPr>
        <w:t>docs/hermes-runtime.md 记录三种 Hermes 接入方式、ACP Tool Host 边界和运行时生命周期。</w:t>
      </w:r>
    </w:p>
    <w:p>
      <w:pPr>
        <w:spacing w:before="0" w:after="100" w:line="269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18"/>
          <w:lang w:val="zh-CN" w:eastAsia="zh-CN" w:bidi="ar-SA"/>
        </w:rPr>
        <w:t>docs/hermes-tool-ownership-audit.md 记录 Hermes Agent、Hermes Model Proxy 和 Hermes ACP 的工具所有权差异。</w:t>
      </w:r>
    </w:p>
    <w:p>
      <w:pPr>
        <w:spacing w:before="0" w:after="100" w:line="269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18"/>
          <w:lang w:val="zh-CN" w:eastAsia="zh-CN" w:bidi="ar-SA"/>
        </w:rPr>
        <w:t>docs/hermes-test-report.md 记录 ACP 宿主工具、审批、checkpoint、恢复、Shell、跨平台和安装包专项验证。</w:t>
      </w:r>
    </w:p>
    <w:p>
      <w:pPr>
        <w:spacing w:before="0" w:after="100" w:line="269" w:lineRule="auto"/>
        <w:ind w:left="0" w:firstLine="0"/>
      </w:pPr>
      <w:r>
        <w:rPr>
          <w:rFonts w:ascii="STSong" w:hAnsi="STSong" w:eastAsia="STSong" w:cs="STSong" w:hint="eastAsia"/>
          <w:b w:val="0"/>
          <w:i w:val="0"/>
          <w:color w:val="202020"/>
          <w:sz w:val="18"/>
          <w:lang w:val="zh-CN" w:eastAsia="zh-CN" w:bidi="ar-SA"/>
        </w:rPr>
        <w:t>src/electron/agent/executor.ts 包含 Hermes external runtime 的选择和执行分支；普通任务仍走 NeoWorker native SessionRuntime。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893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0" w:firstLine="0"/>
      <w:jc w:val="center"/>
    </w:pPr>
    <w:r>
      <w:rPr>
        <w:rFonts w:ascii="STSong" w:hAnsi="STSong" w:eastAsia="STSong" w:cs="STSong" w:hint="eastAsia"/>
        <w:b w:val="0"/>
        <w:i w:val="0"/>
        <w:color w:val="5F6875"/>
        <w:sz w:val="17"/>
        <w:lang w:val="zh-CN" w:eastAsia="zh-CN" w:bidi="ar-SA"/>
      </w:rPr>
      <w:t xml:space="preserve">开放草案  ·  2026年9月11日  ·  </w:t>
    </w:r>
    <w:r>
      <w:rPr>
        <w:rFonts w:ascii="STSong" w:hAnsi="STSong" w:eastAsia="STSong" w:cs="STSong" w:hint="eastAsia"/>
        <w:color w:val="5F6875"/>
        <w:sz w:val="18"/>
        <w:lang w:val="zh-CN" w:eastAsia="zh-CN" w:bidi="ar-SA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left="0" w:firstLine="0"/>
      <w:jc w:val="right"/>
    </w:pPr>
    <w:r>
      <w:rPr>
        <w:rFonts w:ascii="STSong" w:hAnsi="STSong" w:eastAsia="STSong" w:cs="STSong" w:hint="eastAsia"/>
        <w:b w:val="0"/>
        <w:i w:val="0"/>
        <w:color w:val="5F6875"/>
        <w:sz w:val="17"/>
        <w:lang w:val="zh-CN" w:eastAsia="zh-CN" w:bidi="ar-SA"/>
      </w:rPr>
      <w:t>NeoWorker Hermes Harness 开放计划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Song" w:hAnsi="STSong" w:eastAsia="STSong" w:cs="STSong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2020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STSong" w:hAnsi="STSong" w:eastAsia="STSong" w:cs="STSong"/>
      <w:b/>
      <w:color w:val="2020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TSong" w:hAnsi="STSong" w:eastAsia="STSong" w:cs="STSong"/>
      <w:color w:val="20202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TSong" w:hAnsi="STSong" w:eastAsia="STSong" w:cs="STSong"/>
      <w:color w:val="20202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TSong" w:hAnsi="STSong" w:eastAsia="STSong" w:cs="STSong"/>
      <w:color w:val="20202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