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63" w:afterLines="50" w:line="360" w:lineRule="auto"/>
        <w:jc w:val="center"/>
        <w:rPr>
          <w:rFonts w:ascii="黑体" w:hAnsi="黑体" w:eastAsia="黑体"/>
          <w:b/>
          <w:bCs/>
          <w:sz w:val="36"/>
          <w:szCs w:val="36"/>
          <w:lang w:eastAsia="zh-CN"/>
        </w:rPr>
      </w:pPr>
      <w:r>
        <w:rPr>
          <w:rFonts w:hint="eastAsia" w:ascii="黑体" w:hAnsi="黑体" w:eastAsia="黑体"/>
          <w:b/>
          <w:bCs/>
          <w:sz w:val="36"/>
          <w:szCs w:val="36"/>
          <w:lang w:eastAsia="zh-CN"/>
        </w:rPr>
        <w:t>表A</w:t>
      </w:r>
      <w:r>
        <w:rPr>
          <w:rFonts w:ascii="黑体" w:hAnsi="黑体" w:eastAsia="黑体"/>
          <w:b/>
          <w:bCs/>
          <w:sz w:val="36"/>
          <w:szCs w:val="36"/>
          <w:lang w:eastAsia="zh-CN"/>
        </w:rPr>
        <w:t xml:space="preserve">.0.06 </w:t>
      </w:r>
      <w:r>
        <w:rPr>
          <w:rFonts w:hint="eastAsia" w:ascii="黑体" w:hAnsi="黑体" w:eastAsia="黑体"/>
          <w:b/>
          <w:bCs/>
          <w:sz w:val="36"/>
          <w:szCs w:val="36"/>
          <w:lang w:eastAsia="zh-CN"/>
        </w:rPr>
        <w:t>旁站记录</w:t>
      </w:r>
    </w:p>
    <w:p>
      <w:pPr>
        <w:jc w:val="left"/>
        <w:rPr>
          <w:rFonts w:ascii="宋体" w:hAnsi="宋体" w:eastAsia="宋体"/>
          <w:szCs w:val="21"/>
          <w:lang w:eastAsia="zh-CN"/>
        </w:rPr>
      </w:pPr>
      <w:r>
        <w:rPr>
          <w:rFonts w:hint="eastAsia" w:ascii="宋体" w:hAnsi="宋体"/>
          <w:sz w:val="21"/>
          <w:szCs w:val="21"/>
          <w:lang w:eastAsia="zh-CN"/>
        </w:rPr>
        <w:t xml:space="preserve">工程名称：宁夏华电宁东一二期及扩建风电场“以大代小”增容更新202MW风电项目 </w:t>
      </w:r>
      <w:r>
        <w:rPr>
          <w:rFonts w:hint="eastAsia" w:ascii="宋体" w:hAnsi="宋体" w:eastAsia="宋体"/>
          <w:szCs w:val="21"/>
          <w:lang w:eastAsia="zh-CN"/>
        </w:rPr>
        <w:t xml:space="preserve"> </w:t>
      </w:r>
      <w:r>
        <w:rPr>
          <w:rFonts w:ascii="宋体" w:hAnsi="宋体" w:eastAsia="宋体"/>
          <w:szCs w:val="21"/>
          <w:lang w:eastAsia="zh-CN"/>
        </w:rPr>
        <w:t xml:space="preserve">                    </w:t>
      </w:r>
      <w:r>
        <w:rPr>
          <w:rFonts w:hint="eastAsia" w:ascii="宋体" w:hAnsi="宋体" w:eastAsia="宋体"/>
          <w:sz w:val="21"/>
          <w:szCs w:val="21"/>
          <w:lang w:eastAsia="zh-CN"/>
        </w:rPr>
        <w:t xml:space="preserve">编 </w:t>
      </w:r>
      <w:r>
        <w:rPr>
          <w:rFonts w:ascii="宋体" w:hAnsi="宋体" w:eastAsia="宋体"/>
          <w:sz w:val="21"/>
          <w:szCs w:val="21"/>
          <w:lang w:eastAsia="zh-CN"/>
        </w:rPr>
        <w:t xml:space="preserve">   </w:t>
      </w:r>
      <w:r>
        <w:rPr>
          <w:rFonts w:hint="eastAsia" w:ascii="宋体" w:hAnsi="宋体" w:eastAsia="宋体"/>
          <w:sz w:val="21"/>
          <w:szCs w:val="21"/>
          <w:lang w:eastAsia="zh-CN"/>
        </w:rPr>
        <w:t>号：</w:t>
      </w:r>
      <w:r>
        <w:rPr>
          <w:rFonts w:hint="eastAsia" w:ascii="宋体" w:hAnsi="宋体"/>
          <w:sz w:val="21"/>
          <w:szCs w:val="21"/>
          <w:lang w:eastAsia="zh-CN"/>
        </w:rPr>
        <w:t>NDGX2</w:t>
      </w:r>
      <w:r>
        <w:rPr>
          <w:rFonts w:hint="eastAsia" w:ascii="宋体" w:hAnsi="宋体" w:eastAsia="宋体"/>
          <w:szCs w:val="21"/>
          <w:lang w:eastAsia="zh-CN"/>
        </w:rPr>
        <w:t xml:space="preserve"> </w:t>
      </w:r>
      <w:r>
        <w:rPr>
          <w:rFonts w:ascii="宋体" w:hAnsi="宋体" w:eastAsia="宋体"/>
          <w:szCs w:val="21"/>
          <w:lang w:eastAsia="zh-CN"/>
        </w:rPr>
        <w:t xml:space="preserve">                       </w:t>
      </w:r>
    </w:p>
    <w:tbl>
      <w:tblPr>
        <w:tblStyle w:val="4"/>
        <w:tblW w:w="0" w:type="auto"/>
        <w:tblInd w:w="1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5"/>
        <w:gridCol w:w="2940"/>
        <w:gridCol w:w="1635"/>
        <w:gridCol w:w="30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965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旁站的关键部位、关键工序</w:t>
            </w:r>
          </w:p>
        </w:tc>
        <w:tc>
          <w:tcPr>
            <w:tcW w:w="2940" w:type="dxa"/>
            <w:tcBorders>
              <w:top w:val="single" w:color="auto" w:sz="12" w:space="0"/>
            </w:tcBorders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</w:p>
        </w:tc>
        <w:tc>
          <w:tcPr>
            <w:tcW w:w="1635" w:type="dxa"/>
            <w:tcBorders>
              <w:top w:val="single" w:color="auto" w:sz="12" w:space="0"/>
            </w:tcBorders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施工单位</w:t>
            </w:r>
          </w:p>
        </w:tc>
        <w:tc>
          <w:tcPr>
            <w:tcW w:w="3090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1965" w:type="dxa"/>
            <w:tcBorders>
              <w:left w:val="single" w:color="auto" w:sz="12" w:space="0"/>
            </w:tcBorders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旁站开始时间</w:t>
            </w:r>
          </w:p>
        </w:tc>
        <w:tc>
          <w:tcPr>
            <w:tcW w:w="2940" w:type="dxa"/>
            <w:vAlign w:val="center"/>
          </w:tcPr>
          <w:p>
            <w:pPr>
              <w:widowControl w:val="0"/>
              <w:spacing w:line="240" w:lineRule="auto"/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</w:t>
            </w:r>
            <w:r>
              <w:rPr>
                <w:rFonts w:ascii="宋体" w:hAnsi="宋体" w:eastAsia="宋体"/>
              </w:rPr>
              <w:t xml:space="preserve">  </w:t>
            </w:r>
            <w:r>
              <w:rPr>
                <w:rFonts w:hint="eastAsia" w:ascii="宋体" w:hAnsi="宋体" w:eastAsia="宋体"/>
              </w:rPr>
              <w:t xml:space="preserve">年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月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日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时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>分</w:t>
            </w:r>
          </w:p>
        </w:tc>
        <w:tc>
          <w:tcPr>
            <w:tcW w:w="1635" w:type="dxa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旁站结束时间</w:t>
            </w:r>
          </w:p>
        </w:tc>
        <w:tc>
          <w:tcPr>
            <w:tcW w:w="3090" w:type="dxa"/>
            <w:tcBorders>
              <w:right w:val="single" w:color="auto" w:sz="12" w:space="0"/>
            </w:tcBorders>
            <w:vAlign w:val="center"/>
          </w:tcPr>
          <w:p>
            <w:pPr>
              <w:widowControl w:val="0"/>
              <w:spacing w:line="240" w:lineRule="auto"/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</w:t>
            </w:r>
            <w:r>
              <w:rPr>
                <w:rFonts w:ascii="宋体" w:hAnsi="宋体" w:eastAsia="宋体"/>
              </w:rPr>
              <w:t xml:space="preserve">   </w:t>
            </w:r>
            <w:r>
              <w:rPr>
                <w:rFonts w:hint="eastAsia" w:ascii="宋体" w:hAnsi="宋体" w:eastAsia="宋体"/>
              </w:rPr>
              <w:t xml:space="preserve">年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月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日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时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3" w:hRule="atLeast"/>
        </w:trPr>
        <w:tc>
          <w:tcPr>
            <w:tcW w:w="9630" w:type="dxa"/>
            <w:gridSpan w:val="4"/>
            <w:tcBorders>
              <w:left w:val="single" w:color="auto" w:sz="12" w:space="0"/>
              <w:right w:val="single" w:color="auto" w:sz="12" w:space="0"/>
            </w:tcBorders>
          </w:tcPr>
          <w:p>
            <w:pPr>
              <w:snapToGrid w:val="0"/>
              <w:spacing w:line="360" w:lineRule="auto"/>
              <w:ind w:firstLine="105" w:firstLineChars="50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施工情况：</w:t>
            </w:r>
          </w:p>
          <w:p>
            <w:pPr>
              <w:spacing w:line="360" w:lineRule="auto"/>
              <w:ind w:firstLine="413" w:firstLineChars="197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□ 混凝土选用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                           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（公司全称）提供的商品混凝土，标号为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，出厂合格证编号：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        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；采用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辆混凝土罐车连续运输，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none"/>
                <w:lang w:val="en-US" w:eastAsia="zh-CN"/>
              </w:rPr>
              <w:t>台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混凝土泵车浇筑，直至全部浇筑完毕；整个施工过程，混凝土累计浇筑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（设计用量为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）。</w:t>
            </w:r>
          </w:p>
          <w:p>
            <w:pPr>
              <w:spacing w:line="360" w:lineRule="auto"/>
              <w:ind w:firstLine="413" w:firstLineChars="197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□ 混凝土运输时间最长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min（&lt;90min），能够保证均匀不发生分层和离析。</w:t>
            </w:r>
          </w:p>
          <w:p>
            <w:pPr>
              <w:spacing w:line="360" w:lineRule="auto"/>
              <w:ind w:firstLine="413" w:firstLineChars="197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□ 混凝土浇筑采用整体分层连续浇筑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推移式连续浇筑，振捣采用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台棒式\平台振捣器从不同部位、分层振捣，能够满足要求。</w:t>
            </w:r>
          </w:p>
          <w:p>
            <w:pPr>
              <w:spacing w:line="360" w:lineRule="auto"/>
              <w:ind w:firstLine="413" w:firstLineChars="197"/>
              <w:rPr>
                <w:rFonts w:hint="eastAsia" w:ascii="宋体" w:hAnsi="宋体" w:eastAsia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□ 混凝土浇筑现场分别留置标养试块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组，同条件试块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组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eastAsia="zh-CN"/>
              </w:rPr>
              <w:t>，抗冻试块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eastAsia="zh-CN"/>
              </w:rPr>
              <w:t>组。</w:t>
            </w:r>
          </w:p>
          <w:p>
            <w:pPr>
              <w:topLinePunct/>
              <w:snapToGrid w:val="0"/>
              <w:spacing w:line="360" w:lineRule="auto"/>
              <w:ind w:firstLine="420" w:firstLineChars="200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□ 本次混凝土浇筑过程中，施工队负责到位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人、项目部专职质检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人、技术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人、专职安全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人，满足要求。</w:t>
            </w:r>
          </w:p>
          <w:p>
            <w:pPr>
              <w:spacing w:line="360" w:lineRule="auto"/>
              <w:ind w:firstLine="413" w:firstLineChars="197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□ 混凝土浇筑过程中没有间歇，未出现跑浆、胀模现象。</w:t>
            </w:r>
          </w:p>
          <w:p>
            <w:pPr>
              <w:widowControl w:val="0"/>
              <w:spacing w:line="360" w:lineRule="auto"/>
              <w:ind w:firstLine="420" w:firstLineChars="200"/>
              <w:jc w:val="left"/>
              <w:rPr>
                <w:rFonts w:ascii="宋体" w:hAnsi="宋体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254635</wp:posOffset>
                      </wp:positionV>
                      <wp:extent cx="6078220" cy="0"/>
                      <wp:effectExtent l="0" t="0" r="0" b="0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910590" y="4983480"/>
                                <a:ext cx="60782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5.25pt;margin-top:20.05pt;height:0pt;width:478.6pt;z-index:251659264;mso-width-relative:page;mso-height-relative:page;" filled="f" stroked="t" coordsize="21600,21600" o:gfxdata="UEsDBAoAAAAAAIdO4kAAAAAAAAAAAAAAAAAEAAAAZHJzL1BLAwQUAAAACACHTuJALQ1HJ9cAAAAJ&#10;AQAADwAAAGRycy9kb3ducmV2LnhtbE2PsU7DMBCGdyTewTokttYOKk2bxumAxICEBAQGRje+xgH7&#10;HGI3CW+PEUMZ7+7Xd99f7mdn2YhD6DxJyJYCGFLjdUethLfX+8UGWIiKtLKeUMI3BthXlxelKrSf&#10;6AXHOrYsQSgUSoKJsS84D41Bp8LS90jpdvSDUzGNQ8v1oKYEd5bfCLHmTnWUPhjV453B5rM+uUSh&#10;/Os42+H9+enRbOrpAx/GHKW8vsrEDljEOZ7D8Kuf1KFKTgd/Ih2YlbDIxG2KSliJDFgKbFfrHNjh&#10;b8Grkv9vUP0AUEsDBBQAAAAIAIdO4kDISigj7QEAALwDAAAOAAAAZHJzL2Uyb0RvYy54bWytU0uO&#10;1DAQ3SNxB8t7OumeD+mo07OY1rBB0BJwALdjJ5b8k8vT6b4EF0BiByuW7LkNwzEoO2G+m1mQhVN2&#10;lV/5PT+vLg5Gk70IoJxt6HxWUiIsd62yXUM/fbx6VVECkdmWaWdFQ48C6MX65YvV4GuxcL3TrQgE&#10;QSzUg29oH6OviwJ4LwyDmfPCYlK6YFjEaeiKNrAB0Y0uFmV5XgwutD44LgBwdTMm6YQYngPopFRc&#10;bBy/NsLGETUIzSJSgl55oOt8WikFj++lBBGJbigyjXnEJhjv0lisV6zuAvO94tMR2HOO8IiTYcpi&#10;01uoDYuMXAf1BMooHhw4GWfcmWIkkhVBFvPykTYfeuZF5oJSg78VHf4fLH+33waiWnQCJZYZvPCb&#10;Lz9/f/7259dXHG9+fCfzJNLgocbaS7sN0wz8NiTGBxlM+iMXcmjocl6eLVHdY0NPl9XJaTVpLA6R&#10;cMyfl6+rxQILOFbkXHGH4QPEN8IZkoKGamUTfVaz/VuI2BdL/5WkZeuulNb5CrUlA4KfnCVkhraU&#10;aAcMjUdqYDtKmO7Q7zyGjAhOqzbtTjgQut2lDmTPkkvylzhjtwdlqfWGQT/W5dToH6MiPgmtTEOr&#10;+7u1RZCk3KhVinauPWYJ8zpeam4zGTC55v487757dO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Q1HJ9cAAAAJAQAADwAAAAAAAAABACAAAAAiAAAAZHJzL2Rvd25yZXYueG1sUEsBAhQAFAAAAAgA&#10;h07iQMhKKCPtAQAAvAMAAA4AAAAAAAAAAQAgAAAAJgEAAGRycy9lMm9Eb2MueG1sUEsFBgAAAAAG&#10;AAYAWQEAAIUFAAAAAA=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□ 混凝土浇筑完成后表面用</w:t>
            </w:r>
            <w:bookmarkStart w:id="0" w:name="_GoBack"/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Cs w:val="21"/>
                <w:highlight w:val="none"/>
              </w:rPr>
              <w:t>木抹</w:t>
            </w:r>
            <w:bookmarkEnd w:id="0"/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搓平，并采用二次压光工艺，观感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（好或一般或差）。</w:t>
            </w:r>
          </w:p>
          <w:p>
            <w:pPr>
              <w:snapToGrid w:val="0"/>
              <w:spacing w:line="360" w:lineRule="auto"/>
              <w:ind w:firstLine="105" w:firstLineChars="50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监理情况：</w:t>
            </w:r>
          </w:p>
          <w:p>
            <w:pPr>
              <w:snapToGrid w:val="0"/>
              <w:spacing w:line="360" w:lineRule="auto"/>
              <w:ind w:firstLine="420" w:firstLineChars="200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□ 钢筋、模板、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eastAsia="zh-CN"/>
              </w:rPr>
              <w:t>上锚板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水平度经过验收，符合要求；模板内无杂物。</w:t>
            </w:r>
          </w:p>
          <w:p>
            <w:pPr>
              <w:spacing w:line="360" w:lineRule="auto"/>
              <w:ind w:firstLine="413" w:firstLineChars="197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□ 混凝土出厂合格证符合GB/T14902中10.3条要求，且每辆车能提供发货单。</w:t>
            </w:r>
          </w:p>
          <w:p>
            <w:pPr>
              <w:spacing w:line="360" w:lineRule="auto"/>
              <w:ind w:firstLine="413" w:firstLineChars="197"/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□ 混凝土浇筑过程中，抽查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次（&gt;2次）坍落度，分别为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                                                                                                                                                     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                    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mm，符合配合比通知单（编号：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mm的要求，浇筑过程中混凝土能保持良好的和易性、流动性。</w:t>
            </w:r>
          </w:p>
          <w:p>
            <w:pPr>
              <w:spacing w:line="360" w:lineRule="auto"/>
              <w:ind w:firstLine="413" w:firstLineChars="197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□ 混凝土浇筑过程中，间歇时间最长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min（不大于初凝时间）。</w:t>
            </w:r>
          </w:p>
          <w:p>
            <w:pPr>
              <w:spacing w:line="360" w:lineRule="auto"/>
              <w:ind w:firstLine="413" w:firstLineChars="197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□ 混凝土浇筑完成后，测量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eastAsia="zh-CN"/>
              </w:rPr>
              <w:t>上锚板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水平度符合要求；预埋管位置无变动或损坏。</w:t>
            </w:r>
          </w:p>
          <w:p>
            <w:pPr>
              <w:widowControl w:val="0"/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□ 混凝土浇筑过程中，抽测入模温度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次（&gt;2次），分别是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u w:val="single"/>
              </w:rPr>
              <w:t xml:space="preserve">            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 xml:space="preserve">℃，温升值小于50℃（炎热天气浇筑时温升值控制在30℃以下）。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4" w:hRule="atLeast"/>
        </w:trPr>
        <w:tc>
          <w:tcPr>
            <w:tcW w:w="9630" w:type="dxa"/>
            <w:gridSpan w:val="4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widowControl w:val="0"/>
              <w:spacing w:line="360" w:lineRule="auto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发现的问题及处理情况：</w:t>
            </w:r>
          </w:p>
          <w:p>
            <w:pPr>
              <w:widowControl w:val="0"/>
              <w:spacing w:line="360" w:lineRule="auto"/>
              <w:ind w:firstLine="6510" w:firstLineChars="3100"/>
              <w:jc w:val="left"/>
              <w:rPr>
                <w:rFonts w:hint="eastAsia" w:ascii="宋体" w:hAnsi="宋体" w:eastAsia="宋体"/>
                <w:lang w:eastAsia="zh-CN"/>
              </w:rPr>
            </w:pPr>
          </w:p>
          <w:p>
            <w:pPr>
              <w:widowControl w:val="0"/>
              <w:spacing w:line="360" w:lineRule="auto"/>
              <w:ind w:firstLine="5250" w:firstLineChars="2500"/>
              <w:jc w:val="left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旁站监理人员：</w:t>
            </w:r>
            <w:r>
              <w:rPr>
                <w:rFonts w:hint="eastAsia" w:ascii="宋体" w:hAnsi="宋体" w:eastAsia="宋体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/>
                <w:lang w:eastAsia="zh-CN"/>
              </w:rPr>
              <w:t xml:space="preserve">年 </w:t>
            </w:r>
            <w:r>
              <w:rPr>
                <w:rFonts w:ascii="宋体" w:hAnsi="宋体" w:eastAsia="宋体"/>
                <w:lang w:eastAsia="zh-CN"/>
              </w:rPr>
              <w:t xml:space="preserve">   </w:t>
            </w:r>
            <w:r>
              <w:rPr>
                <w:rFonts w:hint="eastAsia" w:ascii="宋体" w:hAnsi="宋体" w:eastAsia="宋体"/>
                <w:lang w:eastAsia="zh-CN"/>
              </w:rPr>
              <w:t xml:space="preserve">月 </w:t>
            </w:r>
            <w:r>
              <w:rPr>
                <w:rFonts w:ascii="宋体" w:hAnsi="宋体" w:eastAsia="宋体"/>
                <w:lang w:eastAsia="zh-CN"/>
              </w:rPr>
              <w:t xml:space="preserve">  </w:t>
            </w:r>
            <w:r>
              <w:rPr>
                <w:rFonts w:hint="eastAsia" w:ascii="宋体" w:hAnsi="宋体" w:eastAsia="宋体"/>
                <w:lang w:eastAsia="zh-CN"/>
              </w:rPr>
              <w:t>日</w:t>
            </w:r>
          </w:p>
        </w:tc>
      </w:tr>
    </w:tbl>
    <w:p>
      <w:pPr>
        <w:rPr>
          <w:rFonts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t>注：本表一式</w:t>
      </w:r>
      <w:r>
        <w:rPr>
          <w:rFonts w:hint="eastAsia" w:ascii="宋体" w:hAnsi="宋体" w:eastAsia="宋体"/>
          <w:sz w:val="18"/>
          <w:szCs w:val="18"/>
          <w:u w:val="single"/>
          <w:lang w:eastAsia="zh-CN"/>
        </w:rPr>
        <w:t xml:space="preserve"> </w:t>
      </w:r>
      <w:r>
        <w:rPr>
          <w:rFonts w:ascii="宋体" w:hAnsi="宋体" w:eastAsia="宋体"/>
          <w:sz w:val="18"/>
          <w:szCs w:val="18"/>
          <w:u w:val="single"/>
          <w:lang w:eastAsia="zh-CN"/>
        </w:rPr>
        <w:t xml:space="preserve">1 </w:t>
      </w:r>
      <w:r>
        <w:rPr>
          <w:rFonts w:hint="eastAsia" w:ascii="宋体" w:hAnsi="宋体" w:eastAsia="宋体"/>
          <w:sz w:val="18"/>
          <w:szCs w:val="18"/>
          <w:lang w:eastAsia="zh-CN"/>
        </w:rPr>
        <w:t>份，由旁站监理人员填报，项目监理部留存。</w:t>
      </w:r>
    </w:p>
    <w:sectPr>
      <w:pgSz w:w="11906" w:h="16838"/>
      <w:pgMar w:top="1134" w:right="850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VlY2RkYTIyNTAyYTAzMTIyMGEwMmNhMGYzZGM0ODgifQ=="/>
  </w:docVars>
  <w:rsids>
    <w:rsidRoot w:val="48773BFB"/>
    <w:rsid w:val="0B364853"/>
    <w:rsid w:val="0BAF3865"/>
    <w:rsid w:val="149C19F5"/>
    <w:rsid w:val="19D13C3F"/>
    <w:rsid w:val="1A531ADD"/>
    <w:rsid w:val="1AB27B0A"/>
    <w:rsid w:val="22AC6FF8"/>
    <w:rsid w:val="25BD546D"/>
    <w:rsid w:val="28B760F0"/>
    <w:rsid w:val="48773BFB"/>
    <w:rsid w:val="5C6A7E4B"/>
    <w:rsid w:val="622878D0"/>
    <w:rsid w:val="64B162BE"/>
    <w:rsid w:val="64B4591D"/>
    <w:rsid w:val="69F942E4"/>
    <w:rsid w:val="6BB22B36"/>
    <w:rsid w:val="6D3F2963"/>
    <w:rsid w:val="749F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qFormat/>
    <w:uiPriority w:val="0"/>
    <w:pPr>
      <w:spacing w:line="360" w:lineRule="auto"/>
      <w:jc w:val="center"/>
    </w:pPr>
    <w:rPr>
      <w:rFonts w:ascii="仿宋_GB2312" w:eastAsia="仿宋_GB2312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697</Words>
  <Characters>738</Characters>
  <Lines>0</Lines>
  <Paragraphs>0</Paragraphs>
  <TotalTime>21</TotalTime>
  <ScaleCrop>false</ScaleCrop>
  <LinksUpToDate>false</LinksUpToDate>
  <CharactersWithSpaces>1321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2023-05-19T08:04:00Z</dcterms:created>
  <dc:creator>专吃吉林女孩</dc:creator>
  <cp:lastModifiedBy>专吃吉林女孩</cp:lastModifiedBy>
  <cp:lastPrinted>2023-05-19T08:12:00Z</cp:lastPrinted>
  <dcterms:modified xsi:type="dcterms:W3CDTF">2023-05-25T13:31:38Z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4DE8A4FF220342648F86BE07BAB44FBA_13</vt:lpwstr>
  </property>
</Properties>
</file>