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3" w:afterLines="50" w:line="360" w:lineRule="auto"/>
        <w:jc w:val="center"/>
        <w:rPr>
          <w:rFonts w:ascii="黑体" w:hAnsi="黑体" w:eastAsia="黑体"/>
          <w:b/>
          <w:bCs/>
          <w:sz w:val="36"/>
          <w:szCs w:val="36"/>
          <w:lang w:eastAsia="zh-CN"/>
        </w:rPr>
      </w:pPr>
      <w:r>
        <w:rPr>
          <w:rFonts w:hint="eastAsia" w:ascii="黑体" w:hAnsi="黑体" w:eastAsia="黑体"/>
          <w:b/>
          <w:bCs/>
          <w:sz w:val="36"/>
          <w:szCs w:val="36"/>
          <w:lang w:eastAsia="zh-CN"/>
        </w:rPr>
        <w:t>表A</w:t>
      </w:r>
      <w:r>
        <w:rPr>
          <w:rFonts w:ascii="黑体" w:hAnsi="黑体" w:eastAsia="黑体"/>
          <w:b/>
          <w:bCs/>
          <w:sz w:val="36"/>
          <w:szCs w:val="36"/>
          <w:lang w:eastAsia="zh-CN"/>
        </w:rPr>
        <w:t xml:space="preserve">.0.06 </w:t>
      </w:r>
      <w:r>
        <w:rPr>
          <w:rFonts w:hint="eastAsia" w:ascii="黑体" w:hAnsi="黑体" w:eastAsia="黑体"/>
          <w:b/>
          <w:bCs/>
          <w:sz w:val="36"/>
          <w:szCs w:val="36"/>
          <w:lang w:eastAsia="zh-CN"/>
        </w:rPr>
        <w:t>旁站记录</w:t>
      </w:r>
    </w:p>
    <w:p>
      <w:pPr>
        <w:jc w:val="left"/>
        <w:rPr>
          <w:rFonts w:ascii="宋体" w:hAnsi="宋体" w:eastAsia="宋体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 xml:space="preserve">工程名称：宁夏华电宁东一二期及扩建风电场“以大代小”增容更新202MW风电项目 </w:t>
      </w:r>
      <w:r>
        <w:rPr>
          <w:rFonts w:hint="eastAsia" w:ascii="宋体" w:hAnsi="宋体" w:eastAsia="宋体"/>
          <w:szCs w:val="21"/>
          <w:lang w:eastAsia="zh-CN"/>
        </w:rPr>
        <w:t xml:space="preserve"> </w:t>
      </w:r>
      <w:r>
        <w:rPr>
          <w:rFonts w:ascii="宋体" w:hAnsi="宋体" w:eastAsia="宋体"/>
          <w:szCs w:val="21"/>
          <w:lang w:eastAsia="zh-CN"/>
        </w:rPr>
        <w:t xml:space="preserve">                    </w:t>
      </w:r>
      <w:r>
        <w:rPr>
          <w:rFonts w:hint="eastAsia" w:ascii="宋体" w:hAnsi="宋体" w:eastAsia="宋体"/>
          <w:sz w:val="21"/>
          <w:szCs w:val="21"/>
          <w:lang w:eastAsia="zh-CN"/>
        </w:rPr>
        <w:t xml:space="preserve">编 </w:t>
      </w:r>
      <w:r>
        <w:rPr>
          <w:rFonts w:ascii="宋体" w:hAnsi="宋体" w:eastAsia="宋体"/>
          <w:sz w:val="21"/>
          <w:szCs w:val="21"/>
          <w:lang w:eastAsia="zh-CN"/>
        </w:rPr>
        <w:t xml:space="preserve">   </w:t>
      </w:r>
      <w:r>
        <w:rPr>
          <w:rFonts w:hint="eastAsia" w:ascii="宋体" w:hAnsi="宋体" w:eastAsia="宋体"/>
          <w:sz w:val="21"/>
          <w:szCs w:val="21"/>
          <w:lang w:eastAsia="zh-CN"/>
        </w:rPr>
        <w:t>号：</w:t>
      </w:r>
      <w:r>
        <w:rPr>
          <w:rFonts w:hint="eastAsia" w:ascii="宋体" w:hAnsi="宋体"/>
          <w:sz w:val="21"/>
          <w:szCs w:val="21"/>
          <w:lang w:eastAsia="zh-CN"/>
        </w:rPr>
        <w:t>NDGX2</w:t>
      </w:r>
      <w:r>
        <w:rPr>
          <w:rFonts w:hint="eastAsia" w:ascii="宋体" w:hAnsi="宋体" w:eastAsia="宋体"/>
          <w:szCs w:val="21"/>
          <w:lang w:eastAsia="zh-CN"/>
        </w:rPr>
        <w:t xml:space="preserve"> </w:t>
      </w:r>
      <w:r>
        <w:rPr>
          <w:rFonts w:ascii="宋体" w:hAnsi="宋体" w:eastAsia="宋体"/>
          <w:szCs w:val="21"/>
          <w:lang w:eastAsia="zh-CN"/>
        </w:rPr>
        <w:t xml:space="preserve">                       </w:t>
      </w:r>
    </w:p>
    <w:tbl>
      <w:tblPr>
        <w:tblStyle w:val="4"/>
        <w:tblW w:w="0" w:type="auto"/>
        <w:tblInd w:w="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5"/>
        <w:gridCol w:w="2940"/>
        <w:gridCol w:w="1635"/>
        <w:gridCol w:w="30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965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旁站的关键部位、关键工序</w:t>
            </w:r>
          </w:p>
        </w:tc>
        <w:tc>
          <w:tcPr>
            <w:tcW w:w="2940" w:type="dxa"/>
            <w:tcBorders>
              <w:top w:val="single" w:color="auto" w:sz="12" w:space="0"/>
            </w:tcBorders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</w:tc>
        <w:tc>
          <w:tcPr>
            <w:tcW w:w="1635" w:type="dxa"/>
            <w:tcBorders>
              <w:top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施工单位</w:t>
            </w:r>
          </w:p>
        </w:tc>
        <w:tc>
          <w:tcPr>
            <w:tcW w:w="309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965" w:type="dxa"/>
            <w:tcBorders>
              <w:left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旁站开始时间</w:t>
            </w:r>
          </w:p>
        </w:tc>
        <w:tc>
          <w:tcPr>
            <w:tcW w:w="2940" w:type="dxa"/>
            <w:vAlign w:val="center"/>
          </w:tcPr>
          <w:p>
            <w:pPr>
              <w:widowControl w:val="0"/>
              <w:spacing w:line="240" w:lineRule="auto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 </w:t>
            </w:r>
            <w:r>
              <w:rPr>
                <w:rFonts w:hint="eastAsia" w:ascii="宋体" w:hAnsi="宋体" w:eastAsia="宋体"/>
              </w:rPr>
              <w:t xml:space="preserve">年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月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日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时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>分</w:t>
            </w:r>
          </w:p>
        </w:tc>
        <w:tc>
          <w:tcPr>
            <w:tcW w:w="1635" w:type="dxa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旁站结束时间</w:t>
            </w:r>
          </w:p>
        </w:tc>
        <w:tc>
          <w:tcPr>
            <w:tcW w:w="3090" w:type="dxa"/>
            <w:tcBorders>
              <w:right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  </w:t>
            </w:r>
            <w:r>
              <w:rPr>
                <w:rFonts w:hint="eastAsia" w:ascii="宋体" w:hAnsi="宋体" w:eastAsia="宋体"/>
              </w:rPr>
              <w:t xml:space="preserve">年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月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日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时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3" w:hRule="atLeast"/>
        </w:trPr>
        <w:tc>
          <w:tcPr>
            <w:tcW w:w="9630" w:type="dxa"/>
            <w:gridSpan w:val="4"/>
            <w:tcBorders>
              <w:left w:val="single" w:color="auto" w:sz="12" w:space="0"/>
              <w:right w:val="single" w:color="auto" w:sz="12" w:space="0"/>
            </w:tcBorders>
          </w:tcPr>
          <w:p>
            <w:pPr>
              <w:snapToGrid w:val="0"/>
              <w:spacing w:line="240" w:lineRule="auto"/>
              <w:ind w:firstLine="105" w:firstLineChars="50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施工情况：</w:t>
            </w:r>
          </w:p>
          <w:p>
            <w:pPr>
              <w:spacing w:line="240" w:lineRule="auto"/>
              <w:ind w:firstLine="415" w:firstLineChars="197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 T1段塔筒从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日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分开始至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分结束；T2段塔筒从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日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分开始至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分结束；T3段塔筒从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日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分开始至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分结束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  <w:t>；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highlight w:val="yellow"/>
              </w:rPr>
              <w:t>T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highlight w:val="yellow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highlight w:val="yellow"/>
              </w:rPr>
              <w:t>段塔筒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从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日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分开始至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分结束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  <w:t>。</w:t>
            </w:r>
          </w:p>
          <w:p>
            <w:pPr>
              <w:spacing w:line="240" w:lineRule="auto"/>
              <w:ind w:firstLine="415" w:firstLineChars="197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 xml:space="preserve">□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机舱从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日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分开始至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分结束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  <w:t>。</w:t>
            </w:r>
          </w:p>
          <w:p>
            <w:pPr>
              <w:spacing w:line="240" w:lineRule="auto"/>
              <w:ind w:firstLine="415" w:firstLineChars="197"/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 xml:space="preserve">□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浆叶、轮毂从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日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分开始至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分结束。</w:t>
            </w:r>
          </w:p>
          <w:p>
            <w:pPr>
              <w:spacing w:line="240" w:lineRule="auto"/>
              <w:ind w:firstLine="415" w:firstLineChars="197"/>
              <w:rPr>
                <w:rFonts w:hint="eastAsia" w:asciiTheme="minorEastAsia" w:hAnsiTheme="minorEastAsia" w:eastAsiaTheme="minorEastAsia" w:cstheme="minorEastAsia"/>
                <w:szCs w:val="21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吊装时使用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  <w:t>汽车吊主吊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台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highlight w:val="yellow"/>
                <w:u w:val="none"/>
                <w:lang w:val="en-US" w:eastAsia="zh-CN"/>
              </w:rPr>
              <w:t>1020T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起重机吊装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      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none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none"/>
                <w:lang w:eastAsia="zh-CN"/>
              </w:rPr>
              <w:t>；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none"/>
                <w:lang w:eastAsia="zh-CN"/>
              </w:rPr>
              <w:t>台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highlight w:val="yellow"/>
                <w:lang w:val="en-US" w:eastAsia="zh-CN"/>
              </w:rPr>
              <w:t>110T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辅助起重机吊装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            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；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台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highlight w:val="yellow"/>
                <w:lang w:val="en-US" w:eastAsia="zh-CN"/>
              </w:rPr>
              <w:t>90T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汽车吊；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台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highlight w:val="yellow"/>
                <w:lang w:val="en-US" w:eastAsia="zh-CN"/>
              </w:rPr>
              <w:t>80T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汽车吊；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台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highlight w:val="yellow"/>
                <w:lang w:val="en-US" w:eastAsia="zh-CN"/>
              </w:rPr>
              <w:t>25T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汽车吊。</w:t>
            </w:r>
          </w:p>
          <w:p>
            <w:pPr>
              <w:spacing w:line="240" w:lineRule="auto"/>
              <w:ind w:firstLine="415" w:firstLineChars="197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 xml:space="preserve">□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吊装时，登高作业人员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人；起重指挥使用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台对讲机，保证信息畅通。</w:t>
            </w:r>
          </w:p>
          <w:p>
            <w:pPr>
              <w:widowControl w:val="0"/>
              <w:spacing w:line="240" w:lineRule="auto"/>
              <w:ind w:firstLine="422" w:firstLineChars="200"/>
              <w:jc w:val="left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Cs w:val="21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/>
                <w:szCs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吊装前，召开了班前技术交底会。</w:t>
            </w:r>
          </w:p>
          <w:p>
            <w:pPr>
              <w:widowControl w:val="0"/>
              <w:spacing w:line="240" w:lineRule="auto"/>
              <w:ind w:firstLine="420" w:firstLineChars="20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51435</wp:posOffset>
                      </wp:positionV>
                      <wp:extent cx="6118225" cy="7620"/>
                      <wp:effectExtent l="0" t="0" r="0" b="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910590" y="4455160"/>
                                <a:ext cx="6118225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5.25pt;margin-top:4.05pt;height:0.6pt;width:481.75pt;z-index:251659264;mso-width-relative:page;mso-height-relative:page;" filled="f" stroked="t" coordsize="21600,21600" o:gfxdata="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0xA5E1QAAAAcBAAAPAAAAAAAAAAEAIAAAACIAAABkcnMvZG93bnJldi54bWxQ&#10;SwECFAAUAAAACACHTuJA1M0VOfoBAADJAwAADgAAAAAAAAABACAAAAAkAQAAZHJzL2Uyb0RvYy54&#10;bWxQSwUGAAAAAAYABgBZAQAAkAUAAAAA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snapToGrid w:val="0"/>
              <w:spacing w:line="240" w:lineRule="auto"/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监理情况：</w:t>
            </w:r>
          </w:p>
          <w:p>
            <w:pPr>
              <w:spacing w:line="240" w:lineRule="auto"/>
              <w:ind w:firstLine="422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基础经过转序验收，符合要求。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吊装前主吊和辅助吊车以及吊具经过吊装人员检查，能够满足吊装要求。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吊装前风机本体、塔筒、轮毂、浆叶经过四方检验，符合要求。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吊装过程中，专人指挥，吊臂工作范围内无人停留，能够满足要求。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起吊设备时，吊点正确，固定牢固，有专用导向绳，能够满足要求。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整个吊装过程中，所有吊具调整均在地面进行，没有在起吊过程中调整吊具现象。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整个吊装过程，高空作业人员均能正确佩戴安全带，所有作业人员均佩戴安全帽，没有从高空抛掷工具、螺钉现象。</w:t>
            </w:r>
          </w:p>
          <w:p>
            <w:pPr>
              <w:widowControl w:val="0"/>
              <w:spacing w:line="240" w:lineRule="auto"/>
              <w:ind w:firstLine="422" w:firstLineChars="200"/>
              <w:jc w:val="left"/>
              <w:rPr>
                <w:rFonts w:hint="eastAsia" w:ascii="宋体" w:hAnsi="宋体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整个吊装过程，机舱、塔筒、轮毂、浆叶均没有损坏现象，螺栓采用对称拧紧方法，符合要求。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30" w:type="dxa"/>
            <w:gridSpan w:val="4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发现的问题及处理情况：</w:t>
            </w: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6510" w:firstLineChars="3100"/>
              <w:jc w:val="left"/>
              <w:rPr>
                <w:rFonts w:hint="eastAsia"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5250" w:firstLineChars="2500"/>
              <w:jc w:val="left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旁站监理人员：</w:t>
            </w:r>
            <w:r>
              <w:rPr>
                <w:rFonts w:hint="eastAsia" w:ascii="宋体" w:hAnsi="宋体" w:eastAsia="宋体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 w:eastAsia="宋体"/>
                <w:lang w:eastAsia="zh-CN"/>
              </w:rPr>
              <w:t xml:space="preserve">年 </w:t>
            </w:r>
            <w:r>
              <w:rPr>
                <w:rFonts w:ascii="宋体" w:hAnsi="宋体" w:eastAsia="宋体"/>
                <w:lang w:eastAsia="zh-CN"/>
              </w:rPr>
              <w:t xml:space="preserve">   </w:t>
            </w:r>
            <w:r>
              <w:rPr>
                <w:rFonts w:hint="eastAsia" w:ascii="宋体" w:hAnsi="宋体" w:eastAsia="宋体"/>
                <w:lang w:eastAsia="zh-CN"/>
              </w:rPr>
              <w:t xml:space="preserve">月 </w:t>
            </w:r>
            <w:r>
              <w:rPr>
                <w:rFonts w:ascii="宋体" w:hAnsi="宋体" w:eastAsia="宋体"/>
                <w:lang w:eastAsia="zh-CN"/>
              </w:rPr>
              <w:t xml:space="preserve">  </w:t>
            </w:r>
            <w:r>
              <w:rPr>
                <w:rFonts w:hint="eastAsia" w:ascii="宋体" w:hAnsi="宋体" w:eastAsia="宋体"/>
                <w:lang w:eastAsia="zh-CN"/>
              </w:rPr>
              <w:t>日</w:t>
            </w:r>
          </w:p>
        </w:tc>
      </w:tr>
    </w:tbl>
    <w:p>
      <w:pPr>
        <w:rPr>
          <w:rFonts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t>注：本表一式</w:t>
      </w:r>
      <w:r>
        <w:rPr>
          <w:rFonts w:hint="eastAsia" w:ascii="宋体" w:hAnsi="宋体" w:eastAsia="宋体"/>
          <w:sz w:val="18"/>
          <w:szCs w:val="18"/>
          <w:u w:val="single"/>
          <w:lang w:eastAsia="zh-CN"/>
        </w:rPr>
        <w:t xml:space="preserve"> </w:t>
      </w:r>
      <w:r>
        <w:rPr>
          <w:rFonts w:ascii="宋体" w:hAnsi="宋体" w:eastAsia="宋体"/>
          <w:sz w:val="18"/>
          <w:szCs w:val="18"/>
          <w:u w:val="single"/>
          <w:lang w:eastAsia="zh-CN"/>
        </w:rPr>
        <w:t xml:space="preserve">1 </w:t>
      </w:r>
      <w:r>
        <w:rPr>
          <w:rFonts w:hint="eastAsia" w:ascii="宋体" w:hAnsi="宋体" w:eastAsia="宋体"/>
          <w:sz w:val="18"/>
          <w:szCs w:val="18"/>
          <w:lang w:eastAsia="zh-CN"/>
        </w:rPr>
        <w:t>份，由旁站监理人员填报，项目监理部留存。</w:t>
      </w:r>
    </w:p>
    <w:sectPr>
      <w:pgSz w:w="11906" w:h="16838"/>
      <w:pgMar w:top="1134" w:right="850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VlY2RkYTIyNTAyYTAzMTIyMGEwMmNhMGYzZGM0ODgifQ=="/>
  </w:docVars>
  <w:rsids>
    <w:rsidRoot w:val="48773BFB"/>
    <w:rsid w:val="19D13C3F"/>
    <w:rsid w:val="1D56536F"/>
    <w:rsid w:val="1D8F3056"/>
    <w:rsid w:val="29B932F0"/>
    <w:rsid w:val="2A855C67"/>
    <w:rsid w:val="3154343A"/>
    <w:rsid w:val="33A87367"/>
    <w:rsid w:val="48773BFB"/>
    <w:rsid w:val="506E242B"/>
    <w:rsid w:val="637D7511"/>
    <w:rsid w:val="63C53722"/>
    <w:rsid w:val="6A734CAA"/>
    <w:rsid w:val="6BB22B36"/>
    <w:rsid w:val="7AC9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line="360" w:lineRule="auto"/>
      <w:jc w:val="center"/>
    </w:pPr>
    <w:rPr>
      <w:rFonts w:ascii="仿宋_GB2312" w:eastAsia="仿宋_GB2312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610</Words>
  <Characters>640</Characters>
  <Lines>0</Lines>
  <Paragraphs>0</Paragraphs>
  <TotalTime>10</TotalTime>
  <ScaleCrop>false</ScaleCrop>
  <LinksUpToDate>false</LinksUpToDate>
  <CharactersWithSpaces>966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2023-05-19T08:04:00Z</dcterms:created>
  <dc:creator>专吃吉林女孩</dc:creator>
  <cp:lastModifiedBy>专吃吉林女孩</cp:lastModifiedBy>
  <cp:lastPrinted>2023-05-19T08:12:00Z</cp:lastPrinted>
  <dcterms:modified xsi:type="dcterms:W3CDTF">2023-05-25T13:31:04Z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668E3D6734984610B2C86F9EE31BC9BF_13</vt:lpwstr>
  </property>
</Properties>
</file>