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274310" cy="3273425"/>
            <wp:effectExtent l="0" t="0" r="2540" b="3175"/>
            <wp:docPr id="1026" name="Picture 2" descr="D:\download\0_1285381395C6iW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D:\download\0_1285381395C6iW.gi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类加载</w:t>
      </w:r>
      <w:r>
        <w:t>器子系统</w:t>
      </w:r>
      <w:r>
        <w:rPr>
          <w:rFonts w:hint="eastAsia"/>
        </w:rPr>
        <w:t>涉及</w:t>
      </w:r>
      <w:r>
        <w:t>到classLoader</w:t>
      </w:r>
    </w:p>
    <w:p>
      <w:r>
        <w:rPr>
          <w:rFonts w:hint="eastAsia"/>
        </w:rPr>
        <w:t>本地</w:t>
      </w:r>
      <w:r>
        <w:t>方法区一般</w:t>
      </w:r>
      <w:r>
        <w:rPr>
          <w:rFonts w:hint="eastAsia"/>
        </w:rPr>
        <w:t>涉及到</w:t>
      </w:r>
      <w:r>
        <w:t>native,</w:t>
      </w:r>
      <w:r>
        <w:rPr>
          <w:rFonts w:hint="eastAsia"/>
        </w:rPr>
        <w:t>一般</w:t>
      </w:r>
      <w:r>
        <w:t>不考虑</w:t>
      </w:r>
    </w:p>
    <w:p/>
    <w:p>
      <w:pPr>
        <w:widowControl/>
        <w:shd w:val="clear" w:color="auto" w:fill="FFFFFF"/>
        <w:spacing w:before="75" w:after="75" w:line="390" w:lineRule="atLeast"/>
        <w:jc w:val="left"/>
        <w:rPr>
          <w:rFonts w:ascii="宋体" w:hAnsi="宋体" w:eastAsia="宋体" w:cs="宋体"/>
          <w:color w:val="666666"/>
          <w:kern w:val="0"/>
          <w:sz w:val="18"/>
          <w:szCs w:val="18"/>
        </w:rPr>
      </w:pPr>
      <w:r>
        <w:rPr>
          <w:rFonts w:hint="eastAsia" w:ascii="宋体" w:hAnsi="宋体" w:eastAsia="宋体" w:cs="宋体"/>
          <w:color w:val="666666"/>
          <w:kern w:val="0"/>
          <w:sz w:val="18"/>
          <w:szCs w:val="18"/>
        </w:rPr>
        <w:t>方法区和持久代的关系：</w:t>
      </w:r>
    </w:p>
    <w:p>
      <w:pPr>
        <w:rPr>
          <w:rFonts w:ascii="宋体" w:hAnsi="宋体" w:eastAsia="宋体" w:cs="宋体"/>
          <w:color w:val="666666"/>
          <w:kern w:val="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666666"/>
          <w:kern w:val="0"/>
          <w:sz w:val="18"/>
          <w:szCs w:val="18"/>
          <w:shd w:val="clear" w:color="auto" w:fill="FFFFFF"/>
        </w:rPr>
        <w:t>方法区物理上存在于堆里，而且是在堆的持久代里面；但在逻辑上，方法区和堆是独立的。</w:t>
      </w:r>
      <w:r>
        <w:rPr>
          <w:rFonts w:hint="eastAsia" w:ascii="宋体" w:hAnsi="宋体" w:eastAsia="宋体" w:cs="宋体"/>
          <w:color w:val="666666"/>
          <w:kern w:val="0"/>
          <w:sz w:val="18"/>
          <w:szCs w:val="18"/>
        </w:rPr>
        <w:br w:type="textWrapping"/>
      </w:r>
      <w:r>
        <w:rPr>
          <w:rFonts w:hint="eastAsia" w:ascii="宋体" w:hAnsi="宋体" w:eastAsia="宋体" w:cs="宋体"/>
          <w:color w:val="666666"/>
          <w:kern w:val="0"/>
          <w:sz w:val="18"/>
          <w:szCs w:val="18"/>
          <w:shd w:val="clear" w:color="auto" w:fill="FFFFFF"/>
        </w:rPr>
        <w:t>一般说堆的持久代就是说方法区，因为一旦JVM把方法区（类信息，常量池，静态字段，方法）加载进内存以后，这些内存一般是不会被回收的了。</w:t>
      </w:r>
      <w:r>
        <w:drawing>
          <wp:inline distT="0" distB="0" distL="0" distR="0">
            <wp:extent cx="5274310" cy="16173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7216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堆</w:t>
      </w:r>
      <w:r>
        <w:t>涉及到GC相关知识</w:t>
      </w:r>
    </w:p>
    <w:p/>
    <w:p>
      <w:r>
        <w:drawing>
          <wp:inline distT="0" distB="0" distL="0" distR="0">
            <wp:extent cx="4972050" cy="21907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  <w:r>
        <w:rPr>
          <w:rFonts w:hint="eastAsia"/>
        </w:rPr>
        <w:t>结合:</w:t>
      </w:r>
    </w:p>
    <w:p>
      <w:r>
        <w:drawing>
          <wp:inline distT="0" distB="0" distL="0" distR="0">
            <wp:extent cx="5274310" cy="26460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2607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2914015" cy="376174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771265" cy="551815"/>
            <wp:effectExtent l="0" t="0" r="63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933065" cy="3180715"/>
            <wp:effectExtent l="0" t="0" r="63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5850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6504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884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924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808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714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802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870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0613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J</w:t>
      </w:r>
      <w:r>
        <w:rPr>
          <w:rFonts w:hint="eastAsia"/>
        </w:rPr>
        <w:t>ava</w:t>
      </w:r>
      <w:r>
        <w:t>中采用</w:t>
      </w:r>
      <w:r>
        <w:rPr>
          <w:rFonts w:hint="eastAsia"/>
        </w:rPr>
        <w:t>以下思想:</w:t>
      </w:r>
    </w:p>
    <w:p>
      <w:r>
        <w:drawing>
          <wp:inline distT="0" distB="0" distL="0" distR="0">
            <wp:extent cx="5274310" cy="21259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7400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5825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·</w:t>
      </w:r>
      <w:r>
        <w:rPr>
          <w:rFonts w:hint="eastAsia"/>
          <w:b/>
          <w:bCs/>
          <w:sz w:val="28"/>
          <w:szCs w:val="32"/>
        </w:rPr>
        <w:t>垃圾回收器选择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JVM给出了3种选择：串行收集器、并行收集器、并发收集器。</w:t>
      </w:r>
      <w:r>
        <w:rPr>
          <w:rFonts w:hint="eastAsia"/>
          <w:b/>
          <w:bCs/>
        </w:rPr>
        <w:t>串行收集器只适用于小数据量</w:t>
      </w:r>
      <w:r>
        <w:rPr>
          <w:rFonts w:hint="eastAsia"/>
        </w:rPr>
        <w:t>的情况，所以生产环境的选择主要是并行收集器和并发收集器。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默认情况下JDK5.0以前都是使用串行收集器，如果想使用其他收集器需要在启动时加入相应参数。JDK5.0以后，JVM会根据当前系统配置进行智能判断。</w:t>
      </w:r>
    </w:p>
    <w:p>
      <w:r>
        <w:drawing>
          <wp:inline distT="0" distB="0" distL="0" distR="0">
            <wp:extent cx="1780540" cy="232346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0" distR="0">
            <wp:extent cx="5274310" cy="28289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104130" cy="3876040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2440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314190" cy="369506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40868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828415" cy="3980815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3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9787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2848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08546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51663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547110"/>
            <wp:effectExtent l="0" t="0" r="2540" b="0"/>
            <wp:docPr id="1024" name="图片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" name="图片 10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663825"/>
            <wp:effectExtent l="0" t="0" r="2540" b="3175"/>
            <wp:docPr id="1025" name="图片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图片 10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470150"/>
            <wp:effectExtent l="0" t="0" r="2540" b="6350"/>
            <wp:docPr id="1027" name="图片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图片 10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715895"/>
            <wp:effectExtent l="0" t="0" r="2540" b="8255"/>
            <wp:docPr id="1028" name="图片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图片 10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  <w:r>
        <w:rPr>
          <w:rFonts w:hint="eastAsia"/>
        </w:rPr>
        <w:t>classLoader</w:t>
      </w:r>
      <w:r>
        <w:t>相关知识</w:t>
      </w:r>
      <w:r>
        <w:rPr>
          <w:rFonts w:hint="eastAsia"/>
        </w:rPr>
        <w:t>:</w:t>
      </w:r>
    </w:p>
    <w:p>
      <w:pPr>
        <w:rPr>
          <w:rFonts w:hint="eastAsia"/>
        </w:rPr>
      </w:pPr>
      <w:r>
        <w:drawing>
          <wp:inline distT="0" distB="0" distL="0" distR="0">
            <wp:extent cx="3676015" cy="3533140"/>
            <wp:effectExtent l="0" t="0" r="635" b="0"/>
            <wp:docPr id="1029" name="图片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图片 10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330450"/>
            <wp:effectExtent l="0" t="0" r="2540" b="0"/>
            <wp:docPr id="1030" name="图片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图片 10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799080"/>
            <wp:effectExtent l="0" t="0" r="2540" b="1270"/>
            <wp:docPr id="1031" name="图片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图片 10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421380"/>
            <wp:effectExtent l="0" t="0" r="2540" b="7620"/>
            <wp:docPr id="1032" name="图片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图片 10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427730"/>
            <wp:effectExtent l="0" t="0" r="2540" b="1270"/>
            <wp:docPr id="1033" name="图片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图片 103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722245"/>
            <wp:effectExtent l="0" t="0" r="2540" b="1905"/>
            <wp:docPr id="1034" name="图片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图片 10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199005"/>
            <wp:effectExtent l="0" t="0" r="2540" b="0"/>
            <wp:docPr id="1035" name="图片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图片 103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783840"/>
            <wp:effectExtent l="0" t="0" r="2540" b="0"/>
            <wp:docPr id="1036" name="图片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图片 10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101975"/>
            <wp:effectExtent l="0" t="0" r="2540" b="3175"/>
            <wp:docPr id="1037" name="图片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图片 103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FontAweso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con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C3E"/>
    <w:rsid w:val="000C5615"/>
    <w:rsid w:val="000F0185"/>
    <w:rsid w:val="00901C3E"/>
    <w:rsid w:val="009A5ABC"/>
    <w:rsid w:val="00E00ACF"/>
    <w:rsid w:val="00E34688"/>
    <w:rsid w:val="030A5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Sky123.Org</Company>
  <Pages>1</Pages>
  <Words>41</Words>
  <Characters>239</Characters>
  <Lines>1</Lines>
  <Paragraphs>1</Paragraphs>
  <TotalTime>0</TotalTime>
  <ScaleCrop>false</ScaleCrop>
  <LinksUpToDate>false</LinksUpToDate>
  <CharactersWithSpaces>279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2016-11-19T02:04:00Z</dcterms:created>
  <dc:creator>dreamsummit</dc:creator>
  <cp:lastModifiedBy>范范</cp:lastModifiedBy>
  <dcterms:modified xsi:type="dcterms:W3CDTF">2018-03-30T08:23:20Z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