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Huiyue</w:t>
      </w:r>
      <w:r>
        <w:t xml:space="preserve"> </w:t>
      </w:r>
      <w:r>
        <w:t xml:space="preserve">Li,</w:t>
      </w:r>
      <w:r>
        <w:t xml:space="preserve"> </w:t>
      </w:r>
      <w:r>
        <w:t xml:space="preserve">Yifeng</w:t>
      </w:r>
      <w:r>
        <w:t xml:space="preserve"> </w:t>
      </w:r>
      <w:r>
        <w:t xml:space="preserve">Tang,</w:t>
      </w:r>
      <w:r>
        <w:t xml:space="preserve"> </w:t>
      </w:r>
      <w:r>
        <w:t xml:space="preserve">Yiyuan</w:t>
      </w:r>
      <w:r>
        <w:t xml:space="preserve"> </w:t>
      </w:r>
      <w:r>
        <w:t xml:space="preserve">Yao&lt;-Huiyue</w:t>
      </w:r>
      <w:r>
        <w:t xml:space="preserve"> </w:t>
      </w:r>
      <w:r>
        <w:t xml:space="preserve">Li</w:t>
      </w:r>
    </w:p>
    <w:p>
      <w:pPr>
        <w:pStyle w:val="SourceCode"/>
      </w:pPr>
      <w:r>
        <w:rPr>
          <w:rStyle w:val="CommentTok"/>
        </w:rPr>
        <w:t xml:space="preserve"># load the packages we need to use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CommentTok"/>
        </w:rPr>
        <w:t xml:space="preserve"># using the here package </w:t>
      </w:r>
      <w:r>
        <w:br/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"/Users/heileylee/R scriptfile/Li_Project3"</w:t>
      </w:r>
    </w:p>
    <w:p>
      <w:pPr>
        <w:pStyle w:val="Heading3"/>
      </w:pPr>
      <w:bookmarkStart w:id="20" w:name="plotting"/>
      <w:r>
        <w:t xml:space="preserve">Plotting</w:t>
      </w:r>
      <w:bookmarkEnd w:id="20"/>
    </w:p>
    <w:p>
      <w:pPr>
        <w:pStyle w:val="SourceCode"/>
      </w:pPr>
      <w:r>
        <w:rPr>
          <w:rStyle w:val="CommentTok"/>
        </w:rPr>
        <w:t xml:space="preserve"># input the dataset</w:t>
      </w:r>
      <w:r>
        <w:br/>
      </w:r>
      <w:r>
        <w:rPr>
          <w:rStyle w:val="NormalTok"/>
        </w:rPr>
        <w:t xml:space="preserve">plot1&lt;-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extract the month of each observation and select the relevant columns</w:t>
      </w:r>
      <w:r>
        <w:br/>
      </w:r>
      <w:r>
        <w:rPr>
          <w:rStyle w:val="NormalTok"/>
        </w:rPr>
        <w:t xml:space="preserve">plot2&lt;-plot1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month=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(plot1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reorganize the dataframe by gathering the site, then calculate the mean by month and site since reorganize the dataframe by gathering the site</w:t>
      </w:r>
      <w:r>
        <w:br/>
      </w:r>
      <w:r>
        <w:rPr>
          <w:rStyle w:val="CommentTok"/>
        </w:rPr>
        <w:t xml:space="preserve"># calculate the mean by month and site to represent the number of subject enrolled by month and site, since the total number of times collecting data varies among different months</w:t>
      </w:r>
      <w:r>
        <w:br/>
      </w:r>
      <w:r>
        <w:rPr>
          <w:rStyle w:val="NormalTok"/>
        </w:rPr>
        <w:t xml:space="preserve">pp=plot2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(Site,Numb,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month)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(month,Site)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(Site)</w:t>
      </w:r>
      <w:r>
        <w:br/>
      </w:r>
      <w:r>
        <w:rPr>
          <w:rStyle w:val="CommentTok"/>
        </w:rPr>
        <w:t xml:space="preserve"># create a plot illustrating the number of subjects enrolled by month and site</w:t>
      </w:r>
      <w:r>
        <w:br/>
      </w:r>
      <w:r>
        <w:rPr>
          <w:rStyle w:val="NormalTok"/>
        </w:rPr>
        <w:t xml:space="preserve">plotting&lt;-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(month),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(Site,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"Site10"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nudge_y=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10"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"Numberof 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The number of subjects enrolled by month and site"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(Site,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"Site10"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plotting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_Project3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program-control"/>
      <w:r>
        <w:t xml:space="preserve">Program control</w:t>
      </w:r>
      <w:bookmarkEnd w:id="22"/>
    </w:p>
    <w:p>
      <w:pPr>
        <w:pStyle w:val="SourceCode"/>
      </w:pPr>
      <w:r>
        <w:rPr>
          <w:rStyle w:val="CommentTok"/>
        </w:rPr>
        <w:t xml:space="preserve"># input the dataset</w:t>
      </w:r>
      <w:r>
        <w:br/>
      </w:r>
      <w:r>
        <w:rPr>
          <w:rStyle w:val="NormalTok"/>
        </w:rPr>
        <w:t xml:space="preserve">hiv&lt;-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"HIV_data.csv"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an empty vector for loop results</w:t>
      </w:r>
      <w:r>
        <w:br/>
      </w:r>
      <w:r>
        <w:rPr>
          <w:rStyle w:val="NormalTok"/>
        </w:rPr>
        <w:t xml:space="preserve">hiv1&lt;-</w:t>
      </w:r>
      <w:r>
        <w:rPr>
          <w:rStyle w:val="OtherTok"/>
        </w:rPr>
        <w:t xml:space="preserve">NULL</w:t>
      </w:r>
      <w:r>
        <w:br/>
      </w:r>
      <w:r>
        <w:rPr>
          <w:rStyle w:val="CommentTok"/>
        </w:rPr>
        <w:t xml:space="preserve"># create a FOR loop to detect the whole dataframe except the column 1</w:t>
      </w:r>
      <w:r>
        <w:br/>
      </w:r>
      <w:r>
        <w:rPr>
          <w:rStyle w:val="CommentTok"/>
        </w:rPr>
        <w:t xml:space="preserve"># determine if there is a "CD4 count&lt;400" using an IF statement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(hiv)){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(hiv[i,j]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hiv1=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(hiv1,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),hiv[i,j]))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transform hiv1 into a dataframe</w:t>
      </w:r>
      <w:r>
        <w:br/>
      </w:r>
      <w:r>
        <w:rPr>
          <w:rStyle w:val="NormalTok"/>
        </w:rPr>
        <w:t xml:space="preserve">hiv1&lt;-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(hiv1)</w:t>
      </w:r>
      <w:r>
        <w:br/>
      </w:r>
      <w:r>
        <w:br/>
      </w:r>
      <w:r>
        <w:rPr>
          <w:rStyle w:val="CommentTok"/>
        </w:rPr>
        <w:t xml:space="preserve"># divide the hiv1 dataframe into two parallel groups to avoid page cut</w:t>
      </w:r>
      <w:r>
        <w:br/>
      </w:r>
      <w:r>
        <w:rPr>
          <w:rStyle w:val="CommentTok"/>
        </w:rPr>
        <w:t xml:space="preserve"># the first 26 rows in left part</w:t>
      </w:r>
      <w:r>
        <w:br/>
      </w:r>
      <w:r>
        <w:rPr>
          <w:rStyle w:val="NormalTok"/>
        </w:rPr>
        <w:t xml:space="preserve">hiv_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=hiv1[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,] </w:t>
      </w:r>
      <w:r>
        <w:br/>
      </w:r>
      <w:r>
        <w:rPr>
          <w:rStyle w:val="CommentTok"/>
        </w:rPr>
        <w:t xml:space="preserve"># the 26th~51th rows in right part</w:t>
      </w:r>
      <w:r>
        <w:br/>
      </w:r>
      <w:r>
        <w:rPr>
          <w:rStyle w:val="NormalTok"/>
        </w:rPr>
        <w:t xml:space="preserve">hiv_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=hiv1[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,] </w:t>
      </w:r>
      <w:r>
        <w:br/>
      </w:r>
      <w:r>
        <w:rPr>
          <w:rStyle w:val="CommentTok"/>
        </w:rPr>
        <w:t xml:space="preserve"># set a vector with NA</w:t>
      </w:r>
      <w:r>
        <w:br/>
      </w:r>
      <w:r>
        <w:rPr>
          <w:rStyle w:val="NormalTok"/>
        </w:rPr>
        <w:t xml:space="preserve">co=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complement the right part(keeping left and right rows the same)</w:t>
      </w:r>
      <w:r>
        <w:br/>
      </w:r>
      <w:r>
        <w:rPr>
          <w:rStyle w:val="NormalTok"/>
        </w:rPr>
        <w:t xml:space="preserve">hiv_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(hiv_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,co)</w:t>
      </w:r>
      <w:r>
        <w:br/>
      </w:r>
      <w:r>
        <w:rPr>
          <w:rStyle w:val="CommentTok"/>
        </w:rPr>
        <w:t xml:space="preserve"># bind the columns all together</w:t>
      </w:r>
      <w:r>
        <w:br/>
      </w:r>
      <w:r>
        <w:rPr>
          <w:rStyle w:val="NormalTok"/>
        </w:rPr>
        <w:t xml:space="preserve">hiv_final&lt;-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(hiv_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),hiv_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see the result, i.e. the kable, on the next page</w:t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 hide the NA in the kable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knitr.kable.NA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result by kable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(hiv_final,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patient ID and study visit for patients with CD4 smaller than 400"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"**Patient ID**"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"**Study Visit**"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"**CD4 Count**"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"**|**"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"**Patient ID**"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"**Study Visit**"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"**CD4 Count**"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The patient ID and study visit for patients with CD4 smaller than 400</w:t>
      </w:r>
    </w:p>
    <w:tbl>
      <w:tblPr>
        <w:tblStyle w:val="Table"/>
        <w:tblW w:type="pct" w:w="0.0"/>
        <w:tblLook w:firstRow="1"/>
        <w:tblCaption w:val="The patient ID and study visit for patients with CD4 smaller than 40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Patient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Study 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CD4 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Patient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Study 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CD4 Count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248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387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253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374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256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339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292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288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329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330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337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392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340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369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383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397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152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338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414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379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297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390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446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228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359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289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457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465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247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292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/>
        </w:tc>
        <w:tc>
          <w:p/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Huiyue Li, Yifeng Tang, Yiyuan Yao&lt;-Huiyue Li</dc:creator>
  <cp:keywords/>
  <dcterms:created xsi:type="dcterms:W3CDTF">2020-10-27T13:22:38Z</dcterms:created>
  <dcterms:modified xsi:type="dcterms:W3CDTF">2020-10-27T13:22:38Z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