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determinant 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 ,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properites of the determinant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(square matrices of any size)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The determinant of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identity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The determinant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changes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sign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two rows(columns)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are exchanged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row exchange: *(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The determinant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depends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linearly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one single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row(column)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operations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vectors in one row(column)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multiply by t in one row(column)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If two rows(columns)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are equal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the determinant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equal rows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Subtracting a multiple of one row from another row leaves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the same determinant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elimination of rows(columns) doesn’t change the determinat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If A has a row(column)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zeros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determinant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zero row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If A is triangular, the determinant 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the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diagonal entries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triangular matrix =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diagonal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If A is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singular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invertible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singular = 0; 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nonsingular !=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the 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the product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times 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=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nonsingular--&gt;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nonsingular)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the same determinant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itself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=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Big Formula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drawing>
          <wp:inline distB="114300" distT="114300" distL="114300" distR="114300">
            <wp:extent cx="2228850" cy="3714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detP = +1 or −1 for an even or odd number of row exchanges.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permutation: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by Cofactors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combination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row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its cofactors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drawing>
          <wp:inline distB="114300" distT="114300" distL="114300" distR="114300">
            <wp:extent cx="3990975" cy="2190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belongs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1,n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cofactor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with the correct sign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drawing>
          <wp:inline distB="114300" distT="114300" distL="114300" distR="114300">
            <wp:extent cx="3571875" cy="21907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 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be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combination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column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its cofactors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drawing>
          <wp:inline distB="114300" distT="114300" distL="114300" distR="114300">
            <wp:extent cx="2543175" cy="23812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i w:val="1"/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compute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vertAlign w:val="superscript"/>
          <w:rtl w:val="0"/>
        </w:rPr>
        <w:t xml:space="preserve">-1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its transposed cofactor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diagonal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with 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’s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on the diagonal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(det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drawing>
          <wp:inline distB="114300" distT="114300" distL="114300" distR="114300">
            <wp:extent cx="4219575" cy="4857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solution of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Cramer’s rule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component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i w:val="1"/>
          <w:color w:val="0000ff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ratio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drawing>
          <wp:inline distB="114300" distT="114300" distL="114300" distR="114300">
            <wp:extent cx="4581525" cy="8286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 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1j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2j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… b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1j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2j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 component in the product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equations Cramer's Rule would need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determinants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the volume of a box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volumn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whose edges are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rows(columns)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a formula for the pivots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Elimination can be completed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without row exchanges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if and only if the leading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submatrices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, … ,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all nonsingular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pivots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det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pivot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be isolated as a ratio of determinants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formular for pivots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/ detA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=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pivots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determined by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submatrix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upper left corner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upper-left corners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L, D, 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determined by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upper-left corner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2.png"/><Relationship Id="rId9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03.png"/><Relationship Id="rId7" Type="http://schemas.openxmlformats.org/officeDocument/2006/relationships/image" Target="media/image08.png"/><Relationship Id="rId8" Type="http://schemas.openxmlformats.org/officeDocument/2006/relationships/image" Target="media/image09.png"/></Relationships>
</file>