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Echelon Form U and Row Reduced Form 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Echelon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nonzero entries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echelon form.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first nonzero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entries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their rows.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Below each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a column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of the zeros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obtained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elimination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lies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the right of the pivot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the row above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 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come last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For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 matrix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permutation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a lower triangular L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 unit diagonal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echelon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such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 reduced form 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about the pivot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MATLAB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R=rref(A)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 is invertible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rref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 variables and free variables and rank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 Variables: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correspond 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(#: 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 Variables: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correspond 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without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(#: n-r)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solution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free variable = 1, others = 0.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solution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combinations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special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solution to Ax=0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rank of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pivot variables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unknowns &gt; equations (n&gt;m)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at least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one special 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same dimension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free variables(special solutions)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particular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nullspace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particular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comes 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solving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the equation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all free variables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: since they satisfy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complete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a plane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which is parallel to the nullspace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 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 =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Ux =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Rx =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particular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with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free variables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(Rx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d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solves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Rx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last m-r rows of U and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there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only if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the last m-r entries of c and d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are also 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n-r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special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nullspace.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m-r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solvability comditions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reveal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pivot variables(column space),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free variables(nullspace)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reduce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to reach a triangular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Ux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components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have a solution.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describe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A: which plane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describe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A: which special solutions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particular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reduce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particular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