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class of rectangular matrices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two advantages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incidence matrices of graphs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every 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1, -1, 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basis vectors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all four subspaces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same property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nondirected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vertices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(nodes)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edges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that connect nodes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edgenode incidence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connectivity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topology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(edges)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(nodes)  (normally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edge goes from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node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---&gt;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in column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in column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jn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 -1 ;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kn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 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correspond to linearly dependent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graph without loops.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#nodes - #edges + #loops =1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 = Ax ; y = Ce;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Cardo" w:cs="Cardo" w:eastAsia="Cardo" w:hAnsi="Cardo"/>
          <w:b w:val="1"/>
          <w:i w:val="1"/>
          <w:rtl w:val="0"/>
        </w:rPr>
        <w:t xml:space="preserve">y = f ⇒ ACA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y =f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(current)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