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76"/>
        <w:jc w:val="center"/>
      </w:pPr>
      <w:r>
        <w:rPr>
          <w:rFonts w:ascii="Times New Roman" w:cs="Times New Roman" w:eastAsia="Times New Roman" w:hAnsi="Times New Roman"/>
          <w:b/>
          <w:bCs/>
          <w:sz w:val="22"/>
          <w:szCs w:val="22"/>
        </w:rPr>
        <w:t xml:space="preserve">MERSİN ÜNİVERSİTESİ – BİLGİSAYAR MÜHENDİSLİĞİ</w:t>
      </w:r>
    </w:p>
    <w:p>
      <w:pPr>
        <w:spacing w:after="50" w:line="276"/>
        <w:jc w:val="center"/>
      </w:pPr>
      <w:r>
        <w:rPr>
          <w:rFonts w:ascii="Times New Roman" w:cs="Times New Roman" w:eastAsia="Times New Roman" w:hAnsi="Times New Roman"/>
          <w:b/>
          <w:bCs/>
          <w:sz w:val="28"/>
          <w:szCs w:val="28"/>
        </w:rPr>
        <w:t xml:space="preserve">Bitirme Projesi – İP1: Literatür Taraması</w:t>
      </w:r>
    </w:p>
    <w:p>
      <w:pPr>
        <w:spacing w:after="50" w:line="276"/>
        <w:jc w:val="center"/>
      </w:pPr>
      <w:r>
        <w:rPr>
          <w:rFonts w:ascii="Times New Roman" w:cs="Times New Roman" w:eastAsia="Times New Roman" w:hAnsi="Times New Roman"/>
          <w:i/>
          <w:iCs/>
          <w:sz w:val="22"/>
          <w:szCs w:val="22"/>
        </w:rPr>
        <w:t xml:space="preserve">Türkçe–İngilizce Karma Sesli Komutlarda Belirsizlik Duyarlı Mobil Görev Asistanı</w:t>
      </w:r>
    </w:p>
    <w:p>
      <w:pPr>
        <w:spacing w:after="200" w:line="276"/>
        <w:jc w:val="center"/>
      </w:pPr>
      <w:r>
        <w:rPr>
          <w:rFonts w:ascii="Times New Roman" w:cs="Times New Roman" w:eastAsia="Times New Roman" w:hAnsi="Times New Roman"/>
          <w:sz w:val="20"/>
          <w:szCs w:val="20"/>
        </w:rPr>
        <w:t xml:space="preserve">Ben Hamphrey Nyangiye (22220030938) · Danışman: Doç. Dr. Çiğdem Acı · 22.10.2026</w:t>
      </w:r>
    </w:p>
    <w:p>
      <w:pPr>
        <w:pStyle w:val="Heading1"/>
        <w:spacing w:after="90" w:before="220"/>
      </w:pPr>
      <w:r>
        <w:rPr>
          <w:rFonts w:ascii="Times New Roman" w:cs="Times New Roman" w:eastAsia="Times New Roman" w:hAnsi="Times New Roman"/>
          <w:b/>
          <w:bCs/>
          <w:sz w:val="24"/>
          <w:szCs w:val="24"/>
        </w:rPr>
        <w:t xml:space="preserve">1. Giriş</w:t>
      </w:r>
    </w:p>
    <w:p>
      <w:pPr>
        <w:spacing w:after="110" w:line="276"/>
        <w:jc w:val="both"/>
      </w:pPr>
      <w:r>
        <w:rPr>
          <w:rFonts w:ascii="Times New Roman" w:cs="Times New Roman" w:eastAsia="Times New Roman" w:hAnsi="Times New Roman"/>
          <w:sz w:val="22"/>
          <w:szCs w:val="22"/>
        </w:rPr>
        <w:t xml:space="preserve">Bu literatür taraması, projenin dayandığı beş temel alanı incelemektedir: (i) kod değiştirmeli konuşma ve dil işleme, (ii) çok dilli uçtan uca konuşma tanıma ve Whisper modelinin sınırlılıkları, (iii) mobil cihaz üzerinde model çalıştırma, (iv) çok dilli niyet sınıflandırma ve (v) belirsizlik tespiti ile açıklama sorusu sorma. Her bölümde ilgili çalışmalar özetlenmekte, eleştirel olarak değerlendirilmekte ve projeyle ilişkisi açıklanmaktadır. Son bölümde literatürdeki boşluk ve projenin bu boşluğu nasıl hedeflediği ortaya konmaktadır. Taramada ACL, Interspeech, ICML, NeurIPS gibi hakemli konferans bildirileri ve bunların ön baskıları esas alınmıştır.</w:t>
      </w:r>
    </w:p>
    <w:p>
      <w:pPr>
        <w:pStyle w:val="Heading1"/>
        <w:spacing w:after="90" w:before="220"/>
      </w:pPr>
      <w:r>
        <w:rPr>
          <w:rFonts w:ascii="Times New Roman" w:cs="Times New Roman" w:eastAsia="Times New Roman" w:hAnsi="Times New Roman"/>
          <w:b/>
          <w:bCs/>
          <w:sz w:val="24"/>
          <w:szCs w:val="24"/>
        </w:rPr>
        <w:t xml:space="preserve">2. Kod Değiştirmeli Konuşma ve Dil İşleme</w:t>
      </w:r>
    </w:p>
    <w:p>
      <w:pPr>
        <w:spacing w:after="110" w:line="276"/>
        <w:jc w:val="both"/>
      </w:pPr>
      <w:r>
        <w:rPr>
          <w:rFonts w:ascii="Times New Roman" w:cs="Times New Roman" w:eastAsia="Times New Roman" w:hAnsi="Times New Roman"/>
          <w:sz w:val="22"/>
          <w:szCs w:val="22"/>
        </w:rPr>
        <w:t xml:space="preserve">Kod değiştirme (code-switching), çok dilli konuşucuların aynı konuşma, hatta aynı cümle içinde diller arasında geçiş yapmasıdır. Sitaram vd. [1], kod değiştirmeli konuşma ve dil işleme üzerine kapsamlı bir derleme sunarak bu alandaki temel zorlukları; karma veri kıtlığı, dil modellerinin tek dilli verilerle eğitilmesi ve aynı kelimenin farklı dillerin yazım/telaffuz kurallarına göre gerçekleşmesi olarak özetlemiştir. Khanuja vd. [2] tarafından önerilen GLUECoS değerlendirme kümesi, çok dilli önceden eğitilmiş modellerin karma metinlerde tek dilli metinlere göre belirgin şekilde daha düşük başarım gösterdiğini ortaya koymuştur. Ancak GLUECoS İspanyolca–İngilizce ve Hintçe–İngilizce dil çiftlerine odaklanmaktadır.</w:t>
      </w:r>
    </w:p>
    <w:p>
      <w:pPr>
        <w:spacing w:after="110" w:line="276"/>
        <w:jc w:val="both"/>
      </w:pPr>
      <w:r>
        <w:rPr>
          <w:rFonts w:ascii="Times New Roman" w:cs="Times New Roman" w:eastAsia="Times New Roman" w:hAnsi="Times New Roman"/>
          <w:sz w:val="22"/>
          <w:szCs w:val="22"/>
        </w:rPr>
        <w:t xml:space="preserve">Türkçe özelinde kod değiştirme çalışmaları sınırlıdır. Çetinoğlu [3], Türkçe–Almanca kod değiştirmeli bir derlem oluşturarak Türkçenin eklemeli yapısının karma kullanımda yarattığı zorluklara dikkat çekmiştir. Türkçe–İngilizce karışımında da benzer bir olgu gözlenir: İngilizce kökler Türkçe eklerle birlikte kullanılır (meeting’i, task’ları, deadline’ı). Bu durum hem konuşma tanıma hem de metin işleme açısından kelime sınırlarının ve yazımın belirsizleşmesine yol açar. Literatürde Türkçe–İngilizce karma sesli komutlar için görev odaklı bir veri seti veya değerlendirme çalışmasına rastlanmamıştır; bu proje kapsamında hazırlanan 90 komutluk liste bu eksikliği küçük ölçekte gidermeyi amaçlamaktadır.</w:t>
      </w:r>
    </w:p>
    <w:p>
      <w:pPr>
        <w:pStyle w:val="Heading1"/>
        <w:spacing w:after="90" w:before="220"/>
      </w:pPr>
      <w:r>
        <w:rPr>
          <w:rFonts w:ascii="Times New Roman" w:cs="Times New Roman" w:eastAsia="Times New Roman" w:hAnsi="Times New Roman"/>
          <w:b/>
          <w:bCs/>
          <w:sz w:val="24"/>
          <w:szCs w:val="24"/>
        </w:rPr>
        <w:t xml:space="preserve">3. Çok Dilli Konuşma Tanıma: Whisper ve Sınırlılıkları</w:t>
      </w:r>
    </w:p>
    <w:p>
      <w:pPr>
        <w:spacing w:after="110" w:line="276"/>
        <w:jc w:val="both"/>
      </w:pPr>
      <w:r>
        <w:rPr>
          <w:rFonts w:ascii="Times New Roman" w:cs="Times New Roman" w:eastAsia="Times New Roman" w:hAnsi="Times New Roman"/>
          <w:sz w:val="22"/>
          <w:szCs w:val="22"/>
        </w:rPr>
        <w:t xml:space="preserve">Radford vd. [4] tarafından geliştirilen Whisper, internetten toplanan yaklaşık 680.000 saatlik zayıf denetimli veriyle eğitilmiş, çok dilli ve çok görevli bir kodlayıcı–kod çözücü (encoder–decoder) modelidir. Model, konuşma tanımanın yanında dil tanıma ve çeviri görevlerini de özel belirteçler (token) aracılığıyla tek bir yapıda gerçekleştirir. Farklı boyutlarda (tiny, base, small, medium, large) sunulması, doğruluk ile hesaplama maliyeti arasında seçim yapılmasına olanak tanır. Bununla birlikte Whisper, her ses parçası için tek bir dil belirteci varsayar; bu varsayım, aynı cümlede iki dilin bulunduğu kod değiştirmeli konuşmayla doğrudan çelişmektedir.</w:t>
      </w:r>
    </w:p>
    <w:p>
      <w:pPr>
        <w:spacing w:after="110" w:line="276"/>
        <w:jc w:val="both"/>
      </w:pPr>
      <w:r>
        <w:rPr>
          <w:rFonts w:ascii="Times New Roman" w:cs="Times New Roman" w:eastAsia="Times New Roman" w:hAnsi="Times New Roman"/>
          <w:sz w:val="22"/>
          <w:szCs w:val="22"/>
        </w:rPr>
        <w:t xml:space="preserve">Peng vd. [5], Whisper’ın istem (prompt) ve özel belirteç düzenlemeleriyle eğitilmediği görevlere sıfır-örnekle (zero-shot) uyarlanabildiğini, kod değiştirmeli konuşma tanımanın da bu görevlerden biri olduğunu göstermiştir. Bu bulgu, modeli yeniden eğitmeden kod çözme aşamasında yapılacak müdahalelerin (dil seçimi, istem metni) başarımı anlamlı biçimde değiştirebileceğini düşündürmektedir.</w:t>
      </w:r>
    </w:p>
    <w:p>
      <w:pPr>
        <w:spacing w:after="110" w:line="276"/>
        <w:jc w:val="both"/>
      </w:pPr>
      <w:r>
        <w:rPr>
          <w:rFonts w:ascii="Times New Roman" w:cs="Times New Roman" w:eastAsia="Times New Roman" w:hAnsi="Times New Roman"/>
          <w:sz w:val="22"/>
          <w:szCs w:val="22"/>
        </w:rPr>
        <w:t xml:space="preserve">Whisper’ın bilinen önemli bir sınırlılığı halüsinasyondur. Koenecke vd. [6], modelin özellikle sessizlik ve duraklama içeren kayıtlarda konuşmada hiç bulunmayan ifadeler ürettiğini ve bunun gerçek kullanımda zarara yol açabileceğini belgelemiştir. Ayrıca konuşma tanıma sistemlerinin başarımı konuşmacı grubuna göre değişebilmektedir; Koenecke vd. [7], ticari sistemlerde farklı konuşmacı grupları arasında belirgin hata oranı farkları raporlamıştır. Bu bulgular, yalnızca ortalama doğruluğa değil, farklı konuşmacılar üzerindeki dağılıma da bakılması gerektiğini göstermektedir.</w:t>
      </w:r>
    </w:p>
    <w:p>
      <w:pPr>
        <w:spacing w:after="110" w:line="276"/>
        <w:jc w:val="both"/>
      </w:pPr>
      <w:r>
        <w:rPr>
          <w:rFonts w:ascii="Times New Roman" w:cs="Times New Roman" w:eastAsia="Times New Roman" w:hAnsi="Times New Roman"/>
          <w:b/>
          <w:bCs/>
          <w:sz w:val="22"/>
          <w:szCs w:val="22"/>
        </w:rPr>
        <w:t xml:space="preserve">Projeyle ilişkisi: </w:t>
      </w:r>
      <w:r>
        <w:rPr>
          <w:rFonts w:ascii="Times New Roman" w:cs="Times New Roman" w:eastAsia="Times New Roman" w:hAnsi="Times New Roman"/>
          <w:sz w:val="22"/>
          <w:szCs w:val="22"/>
        </w:rPr>
        <w:t xml:space="preserve">Proje kapsamında yapılan pilot çalışmada (tek konuşmacı, 30 komut) bu sınırlılıkların üçü de doğrudan gözlenmiştir: kısıtsız dil tanıma Türkçe konuşmayı farklı dillere atamış, model sessizlik içeren kısa kayıtlarda kayıtta bulunmayan ifadeler üretmiş (ör. “Bu videoyu izlediğiniz için teşekkürler”) ve istem metni çıktıya kopyalanmıştır. Dil seçiminin Türkçe ve İngilizce ile sınırlandırılması, Türkçe öncelikli karar kuralı ve yalnızca kelime listesinden oluşan istem kullanılmasıyla, small modelde karma komutlardaki kelime hata oranı 0,93’ten 0,72’ye düşmüştür. Bu sonuç, [5]’teki kod çözme aşamasında müdahale yaklaşımını desteklemektedir.</w:t>
      </w:r>
    </w:p>
    <w:p>
      <w:pPr>
        <w:pStyle w:val="Heading1"/>
        <w:spacing w:after="90" w:before="220"/>
      </w:pPr>
      <w:r>
        <w:rPr>
          <w:rFonts w:ascii="Times New Roman" w:cs="Times New Roman" w:eastAsia="Times New Roman" w:hAnsi="Times New Roman"/>
          <w:b/>
          <w:bCs/>
          <w:sz w:val="24"/>
          <w:szCs w:val="24"/>
        </w:rPr>
        <w:t xml:space="preserve">4. Mobil Cihaz Üzerinde Çıkarım</w:t>
      </w:r>
    </w:p>
    <w:p>
      <w:pPr>
        <w:spacing w:after="110" w:line="276"/>
        <w:jc w:val="both"/>
      </w:pPr>
      <w:r>
        <w:rPr>
          <w:rFonts w:ascii="Times New Roman" w:cs="Times New Roman" w:eastAsia="Times New Roman" w:hAnsi="Times New Roman"/>
          <w:sz w:val="22"/>
          <w:szCs w:val="22"/>
        </w:rPr>
        <w:t xml:space="preserve">Sesli asistanların çoğu konuşmayı buluta göndererek işler; bu durum gizlilik, ağ bağımlılığı ve gecikme sorunları doğurur. Coucke vd. [8], Snips platformuyla konuşma tanıma ve dil anlamanın tamamen cihaz üzerinde, “tasarımdan gizli” (private-by-design) biçimde yapılabileceğini göstermiştir. Ancak Snips, kod değiştirmeli dil kullanımını ve belirsizlik yönetimini hedeflememektedir.</w:t>
      </w:r>
    </w:p>
    <w:p>
      <w:pPr>
        <w:spacing w:after="110" w:line="276"/>
        <w:jc w:val="both"/>
      </w:pPr>
      <w:r>
        <w:rPr>
          <w:rFonts w:ascii="Times New Roman" w:cs="Times New Roman" w:eastAsia="Times New Roman" w:hAnsi="Times New Roman"/>
          <w:sz w:val="22"/>
          <w:szCs w:val="22"/>
        </w:rPr>
        <w:t xml:space="preserve">Büyük modellerin mobil cihazda çalıştırılması için çeşitli araçlar ve teknikler mevcuttur. ONNX Runtime [9], farklı çerçevelerde eğitilmiş modellerin ortak bir formatta Android dahil pek çok platformda çalıştırılmasını sağlar. whisper.cpp [10], Whisper’ın C/C++ ile yazılmış, mobil cihazlarda da çalışabilen hafif bir uyarlamasıdır. Jacob vd. [11], ağırlıkların 8 bitlik tamsayılara nicemlenmesinin (INT8) doğrulukta küçük kayıpla bellek kullanımını ve çıkarım süresini önemli ölçüde azalttığını göstermiştir. Gandhi vd. [12] ise bilgi damıtımı (knowledge distillation) ile Whisper’ın daha küçük ve hızlı sürümlerinin elde edilebileceğini ortaya koymuştur; ancak bu çalışma ağırlıklı olarak İngilizceye odaklanmaktadır.</w:t>
      </w:r>
    </w:p>
    <w:p>
      <w:pPr>
        <w:spacing w:after="110" w:line="276"/>
        <w:jc w:val="both"/>
      </w:pPr>
      <w:r>
        <w:rPr>
          <w:rFonts w:ascii="Times New Roman" w:cs="Times New Roman" w:eastAsia="Times New Roman" w:hAnsi="Times New Roman"/>
          <w:b/>
          <w:bCs/>
          <w:sz w:val="22"/>
          <w:szCs w:val="22"/>
        </w:rPr>
        <w:t xml:space="preserve">Projeyle ilişkisi: </w:t>
      </w:r>
      <w:r>
        <w:rPr>
          <w:rFonts w:ascii="Times New Roman" w:cs="Times New Roman" w:eastAsia="Times New Roman" w:hAnsi="Times New Roman"/>
          <w:sz w:val="22"/>
          <w:szCs w:val="22"/>
        </w:rPr>
        <w:t xml:space="preserve">Pilot ölçümlerde small model, karma komutlarda en iyi doğruluğu vermesine rağmen dizüstü bilgisayar işlemcisinde bile komut başına 6–14 saniye sürmüş; bu, 3 saniyelik gecikme hedefi için uygun değildir. Bu nedenle cihaz üzerinde base modelin INT8 nicemlenmiş ONNX sürümü ana aday olarak belirlenmiş, whisper.cpp ise alternatif çalıştırma ortamı olarak değerlendirilmektedir.</w:t>
      </w:r>
    </w:p>
    <w:p>
      <w:pPr>
        <w:pStyle w:val="Heading1"/>
        <w:spacing w:after="90" w:before="220"/>
      </w:pPr>
      <w:r>
        <w:rPr>
          <w:rFonts w:ascii="Times New Roman" w:cs="Times New Roman" w:eastAsia="Times New Roman" w:hAnsi="Times New Roman"/>
          <w:b/>
          <w:bCs/>
          <w:sz w:val="24"/>
          <w:szCs w:val="24"/>
        </w:rPr>
        <w:t xml:space="preserve">5. Çok Dilli Niyet Sınıflandırma</w:t>
      </w:r>
    </w:p>
    <w:p>
      <w:pPr>
        <w:spacing w:after="110" w:line="276"/>
        <w:jc w:val="both"/>
      </w:pPr>
      <w:r>
        <w:rPr>
          <w:rFonts w:ascii="Times New Roman" w:cs="Times New Roman" w:eastAsia="Times New Roman" w:hAnsi="Times New Roman"/>
          <w:sz w:val="22"/>
          <w:szCs w:val="22"/>
        </w:rPr>
        <w:t xml:space="preserve">Sesli asistanlarda konuşma tanımanın ardından komutun amacı (niyet) ve parametreleri (slot) belirlenir. FitzGerald vd. [13] tarafından yayımlanan MASSIVE veri seti, Türkçe dahil 51 dilde paralel olarak etiketlenmiş yaklaşık bir milyon sanal asistan ifadesi içermektedir. Ancak bu ifadeler tek dillidir ve karma kullanımı temsil etmez. XLM-R [14] gibi çok dilli dil modelleri diller arası aktarımda güçlü sonuçlar verse de, boyutları nedeniyle mobil cihazlar için ağırdır. Reimers ve Gurevych [15], bilgi damıtımıyla tek dilli cümle temsil modellerinin çok dilli ve daha küçük modellere aktarılabileceğini göstermiştir; bu yöntemle elde edilen küçük çok dilli kodlayıcılar, aynı anlamdaki Türkçe ve İngilizce ifadeleri benzer vektörlere eşlediği için karma komutlar açısından uygun bir başlangıç noktasıdır.</w:t>
      </w:r>
    </w:p>
    <w:p>
      <w:pPr>
        <w:spacing w:after="110" w:line="276"/>
        <w:jc w:val="both"/>
      </w:pPr>
      <w:r>
        <w:rPr>
          <w:rFonts w:ascii="Times New Roman" w:cs="Times New Roman" w:eastAsia="Times New Roman" w:hAnsi="Times New Roman"/>
          <w:b/>
          <w:bCs/>
          <w:sz w:val="22"/>
          <w:szCs w:val="22"/>
        </w:rPr>
        <w:t xml:space="preserve">Projeyle ilişkisi: </w:t>
      </w:r>
      <w:r>
        <w:rPr>
          <w:rFonts w:ascii="Times New Roman" w:cs="Times New Roman" w:eastAsia="Times New Roman" w:hAnsi="Times New Roman"/>
          <w:sz w:val="22"/>
          <w:szCs w:val="22"/>
        </w:rPr>
        <w:t xml:space="preserve">Projede küçük bir çok dilli cümle kodlayıcısı üzerine hafif bir sınıflandırma katmanı eklenecek, karşılaştırma için TF-IDF ve lojistik regresyondan oluşan basit bir temel model kullanılacaktır. Tarih ve saat ifadeleri kural tabanlı olarak çıkarılıp ISO 8601 formatına dönüştürülecektir.</w:t>
      </w:r>
    </w:p>
    <w:p>
      <w:pPr>
        <w:pStyle w:val="Heading1"/>
        <w:spacing w:after="90" w:before="220"/>
      </w:pPr>
      <w:r>
        <w:rPr>
          <w:rFonts w:ascii="Times New Roman" w:cs="Times New Roman" w:eastAsia="Times New Roman" w:hAnsi="Times New Roman"/>
          <w:b/>
          <w:bCs/>
          <w:sz w:val="24"/>
          <w:szCs w:val="24"/>
        </w:rPr>
        <w:t xml:space="preserve">6. Belirsizlik, Kalibrasyon ve Seçici Tahmin</w:t>
      </w:r>
    </w:p>
    <w:p>
      <w:pPr>
        <w:spacing w:after="110" w:line="276"/>
        <w:jc w:val="both"/>
      </w:pPr>
      <w:r>
        <w:rPr>
          <w:rFonts w:ascii="Times New Roman" w:cs="Times New Roman" w:eastAsia="Times New Roman" w:hAnsi="Times New Roman"/>
          <w:sz w:val="22"/>
          <w:szCs w:val="22"/>
        </w:rPr>
        <w:t xml:space="preserve">Bir sesli asistanın yanlış anladığı komutu uygulaması, hiç uygulamamasından daha zararlı olabilir. Bu nedenle sistemin ne zaman emin olmadığını bilmesi gerekir. Konuşma tanımada güven ölçüleri uzun süredir çalışılmaktadır; Jiang [16], tanıma çıktısının doğruluğunu tahmin etmek için kullanılan olasılık ve kod çözme tabanlı güven ölçülerini sistematik olarak derlemiştir. Sınıflandırma tarafında Guo vd. [17], modern derin ağların olasılık çıktılarının çoğunlukla aşırı güvenli olduğunu ve basit bir sıcaklık ölçekleme (temperature scaling) yöntemiyle bu kalibrasyon hatasının büyük ölçüde düzeltilebileceğini göstermiştir. Hendrycks ve Gimpel [18], en yüksek softmax olasılığının yanlış sınıflandırılmış örnekleri ayırt etmek için basit ama etkili bir temel ölçüt olduğunu ortaya koymuştur. Geifman ve El-Yaniv [19] ise modelin güvenin düşük olduğu örneklerde karar vermekten kaçındığı seçici sınıflandırma yaklaşımını ve bu yaklaşımın değerlendirilmesinde kullanılan risk–kapsama (risk–coverage) analizini tanımlamıştır.</w:t>
      </w:r>
    </w:p>
    <w:p>
      <w:pPr>
        <w:spacing w:after="110" w:line="276"/>
        <w:jc w:val="both"/>
      </w:pPr>
      <w:r>
        <w:rPr>
          <w:rFonts w:ascii="Times New Roman" w:cs="Times New Roman" w:eastAsia="Times New Roman" w:hAnsi="Times New Roman"/>
          <w:sz w:val="22"/>
          <w:szCs w:val="22"/>
        </w:rPr>
        <w:t xml:space="preserve">Bu çalışmaların ortak sınırlılığı, belirsizliği genellikle tek bir bileşen (yalnızca konuşma tanıma ya da yalnızca sınıflandırma) için ele almalarıdır. Sesli komut sistemlerinde ise hata, konuşma tanıma, niyet sınıflandırma veya eksik bilgi aşamalarının herhangi birinden kaynaklanabilir.</w:t>
      </w:r>
    </w:p>
    <w:p>
      <w:pPr>
        <w:pStyle w:val="Heading1"/>
        <w:spacing w:after="90" w:before="220"/>
      </w:pPr>
      <w:r>
        <w:rPr>
          <w:rFonts w:ascii="Times New Roman" w:cs="Times New Roman" w:eastAsia="Times New Roman" w:hAnsi="Times New Roman"/>
          <w:b/>
          <w:bCs/>
          <w:sz w:val="24"/>
          <w:szCs w:val="24"/>
        </w:rPr>
        <w:t xml:space="preserve">7. Açıklama Sorusu Sorma</w:t>
      </w:r>
    </w:p>
    <w:p>
      <w:pPr>
        <w:spacing w:after="110" w:line="276"/>
        <w:jc w:val="both"/>
      </w:pPr>
      <w:r>
        <w:rPr>
          <w:rFonts w:ascii="Times New Roman" w:cs="Times New Roman" w:eastAsia="Times New Roman" w:hAnsi="Times New Roman"/>
          <w:sz w:val="22"/>
          <w:szCs w:val="22"/>
        </w:rPr>
        <w:t xml:space="preserve">Belirsizlik tespit edildiğinde sistem eylemden kaçınmak yerine kullanıcıya soru sorarak bilgiyi tamamlayabilir. Rao ve Daumé III [20], bir sorunun yanıtının sağlayacağı beklenen bilgi değerini (EVPI) kullanarak iyi açıklama sorularını sıralayan bir yöntem önermiştir. Aliannejadi vd. [21], açık uçlu bilgi arama konuşmalarında açıklama sorusu sormanın sistem başarımını belirgin biçimde artırdığını göstermiştir. Ancak bu çalışmalar metin tabanlı ve genel amaçlı senaryolara odaklanmakta; sesli, kısa ve görev odaklı komutlarda ne zaman soru sorulması gerektiği, yani yanlış işlem riski ile kullanıcıyı gereksiz sorularla yorma arasındaki denge, yeterince incelenmemektedir.</w:t>
      </w:r>
    </w:p>
    <w:p>
      <w:pPr>
        <w:spacing w:after="110" w:line="276"/>
        <w:jc w:val="both"/>
      </w:pPr>
      <w:r>
        <w:rPr>
          <w:rFonts w:ascii="Times New Roman" w:cs="Times New Roman" w:eastAsia="Times New Roman" w:hAnsi="Times New Roman"/>
          <w:b/>
          <w:bCs/>
          <w:sz w:val="22"/>
          <w:szCs w:val="22"/>
        </w:rPr>
        <w:t xml:space="preserve">Projeyle ilişkisi: </w:t>
      </w:r>
      <w:r>
        <w:rPr>
          <w:rFonts w:ascii="Times New Roman" w:cs="Times New Roman" w:eastAsia="Times New Roman" w:hAnsi="Times New Roman"/>
          <w:sz w:val="22"/>
          <w:szCs w:val="22"/>
        </w:rPr>
        <w:t xml:space="preserve">Projede konuşma tanıma güveni, sınıflandırıcı olasılıkları ve slot tutarlılığı tek bir belirsizlik skorunda birleştirilecek ve üç seviyeli bir karar (eylem / onay / açıklama sorusu) verilecektir. Eşikler risk–kapsama analiziyle [19] seçilecek; başarı, yanlış işlem oranındaki azalma ve açıklama sorusu sıklığı birlikte raporlanarak ölçülecektir.</w:t>
      </w:r>
    </w:p>
    <w:p>
      <w:pPr>
        <w:pStyle w:val="Heading1"/>
        <w:spacing w:after="90" w:before="220"/>
      </w:pPr>
      <w:r>
        <w:rPr>
          <w:rFonts w:ascii="Times New Roman" w:cs="Times New Roman" w:eastAsia="Times New Roman" w:hAnsi="Times New Roman"/>
          <w:b/>
          <w:bCs/>
          <w:sz w:val="24"/>
          <w:szCs w:val="24"/>
        </w:rPr>
        <w:t xml:space="preserve">8. Değerlendirme Verisi ve Etik</w:t>
      </w:r>
    </w:p>
    <w:p>
      <w:pPr>
        <w:spacing w:after="110" w:line="276"/>
        <w:jc w:val="both"/>
      </w:pPr>
      <w:r>
        <w:rPr>
          <w:rFonts w:ascii="Times New Roman" w:cs="Times New Roman" w:eastAsia="Times New Roman" w:hAnsi="Times New Roman"/>
          <w:sz w:val="22"/>
          <w:szCs w:val="22"/>
        </w:rPr>
        <w:t xml:space="preserve">Türkçe konuşma tanıma başarımının karşılaştırılması için Ardila vd. [22] tarafından sunulan, gönüllüler tarafından kaydedilmiş ve açık lisanslı Common Voice derleminin Türkçe bölümü kullanılabilir. Gürültüye karşı dayanıklılığın ölçülmesi için MUSAN [23] gibi gürültü derlemlerinden farklı sinyal-gürültü oranlarında gürültü eklenmesi yaygın bir yöntemdir. Konuşma tanıma ve sınıflandırma sonuçlarının genellenebilirliği için eğitim ve test konuşmacılarının ayrılması gerekir; aksi hâlde model konuşmacıya özgü özellikleri ezberleyebilir. Ses kayıtları kişisel veri niteliğinde olduğundan, katılımcılardan 6698 sayılı KVKK [24] çerçevesinde aydınlatılmış açık rıza alınmakta ve kayıtlar yalnızca cihaz üzerinde, konuşmacı koduyla saklanmaktadır.</w:t>
      </w:r>
    </w:p>
    <w:p>
      <w:pPr>
        <w:pStyle w:val="Heading1"/>
        <w:spacing w:after="90" w:before="220"/>
      </w:pPr>
      <w:r>
        <w:rPr>
          <w:rFonts w:ascii="Times New Roman" w:cs="Times New Roman" w:eastAsia="Times New Roman" w:hAnsi="Times New Roman"/>
          <w:b/>
          <w:bCs/>
          <w:sz w:val="24"/>
          <w:szCs w:val="24"/>
        </w:rPr>
        <w:t xml:space="preserve">9. Literatürdeki Boşluk ve Projenin Konumu</w:t>
      </w:r>
    </w:p>
    <w:p>
      <w:pPr>
        <w:spacing w:after="110" w:line="276"/>
        <w:jc w:val="both"/>
      </w:pPr>
      <w:r>
        <w:rPr>
          <w:rFonts w:ascii="Times New Roman" w:cs="Times New Roman" w:eastAsia="Times New Roman" w:hAnsi="Times New Roman"/>
          <w:sz w:val="22"/>
          <w:szCs w:val="22"/>
        </w:rPr>
        <w:t xml:space="preserve">Aşağıdaki tablo, incelenen temel çalışmaları projenin dört gereksinimi açısından karşılaştırmaktadır.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600"/>
        <w:gridCol w:w="1600"/>
        <w:gridCol w:w="1600"/>
        <w:gridCol w:w="1600"/>
      </w:tblGrid>
      <w:tr>
        <w:trPr>
          <w:tblHeader/>
        </w:trPr>
        <w:tc>
          <w:tcPr>
            <w:tcW w:type="dxa" w:w="3238"/>
            <w:tcBorders>
              <w:top w:val="single" w:color="8C8C8C" w:sz="4"/>
              <w:left w:val="single" w:color="8C8C8C" w:sz="4"/>
              <w:bottom w:val="single" w:color="8C8C8C" w:sz="4"/>
              <w:right w:val="single" w:color="8C8C8C" w:sz="4"/>
            </w:tcBorders>
            <w:shd w:fill="D9D9D9" w:color="auto" w:val="clear"/>
            <w:tcMar>
              <w:top w:type="dxa" w:w="45"/>
              <w:left w:type="dxa" w:w="80"/>
              <w:bottom w:type="dxa" w:w="45"/>
              <w:right w:type="dxa" w:w="80"/>
            </w:tcMar>
          </w:tcPr>
          <w:p>
            <w:pPr>
              <w:jc w:val="center"/>
            </w:pPr>
            <w:r>
              <w:rPr>
                <w:rFonts w:ascii="Times New Roman" w:cs="Times New Roman" w:eastAsia="Times New Roman" w:hAnsi="Times New Roman"/>
                <w:b/>
                <w:bCs/>
                <w:sz w:val="19"/>
                <w:szCs w:val="19"/>
              </w:rPr>
              <w:t xml:space="preserve">Çalışma</w:t>
            </w:r>
          </w:p>
        </w:tc>
        <w:tc>
          <w:tcPr>
            <w:tcW w:type="dxa" w:w="1600"/>
            <w:tcBorders>
              <w:top w:val="single" w:color="8C8C8C" w:sz="4"/>
              <w:left w:val="single" w:color="8C8C8C" w:sz="4"/>
              <w:bottom w:val="single" w:color="8C8C8C" w:sz="4"/>
              <w:right w:val="single" w:color="8C8C8C" w:sz="4"/>
            </w:tcBorders>
            <w:shd w:fill="D9D9D9" w:color="auto" w:val="clear"/>
            <w:tcMar>
              <w:top w:type="dxa" w:w="45"/>
              <w:left w:type="dxa" w:w="80"/>
              <w:bottom w:type="dxa" w:w="45"/>
              <w:right w:type="dxa" w:w="80"/>
            </w:tcMar>
          </w:tcPr>
          <w:p>
            <w:pPr>
              <w:jc w:val="center"/>
            </w:pPr>
            <w:r>
              <w:rPr>
                <w:rFonts w:ascii="Times New Roman" w:cs="Times New Roman" w:eastAsia="Times New Roman" w:hAnsi="Times New Roman"/>
                <w:b/>
                <w:bCs/>
                <w:sz w:val="19"/>
                <w:szCs w:val="19"/>
              </w:rPr>
              <w:t xml:space="preserve">Türkçe</w:t>
            </w:r>
          </w:p>
        </w:tc>
        <w:tc>
          <w:tcPr>
            <w:tcW w:type="dxa" w:w="1600"/>
            <w:tcBorders>
              <w:top w:val="single" w:color="8C8C8C" w:sz="4"/>
              <w:left w:val="single" w:color="8C8C8C" w:sz="4"/>
              <w:bottom w:val="single" w:color="8C8C8C" w:sz="4"/>
              <w:right w:val="single" w:color="8C8C8C" w:sz="4"/>
            </w:tcBorders>
            <w:shd w:fill="D9D9D9" w:color="auto" w:val="clear"/>
            <w:tcMar>
              <w:top w:type="dxa" w:w="45"/>
              <w:left w:type="dxa" w:w="80"/>
              <w:bottom w:type="dxa" w:w="45"/>
              <w:right w:type="dxa" w:w="80"/>
            </w:tcMar>
          </w:tcPr>
          <w:p>
            <w:pPr>
              <w:jc w:val="center"/>
            </w:pPr>
            <w:r>
              <w:rPr>
                <w:rFonts w:ascii="Times New Roman" w:cs="Times New Roman" w:eastAsia="Times New Roman" w:hAnsi="Times New Roman"/>
                <w:b/>
                <w:bCs/>
                <w:sz w:val="19"/>
                <w:szCs w:val="19"/>
              </w:rPr>
              <w:t xml:space="preserve">Kod değiştirme</w:t>
            </w:r>
          </w:p>
        </w:tc>
        <w:tc>
          <w:tcPr>
            <w:tcW w:type="dxa" w:w="1600"/>
            <w:tcBorders>
              <w:top w:val="single" w:color="8C8C8C" w:sz="4"/>
              <w:left w:val="single" w:color="8C8C8C" w:sz="4"/>
              <w:bottom w:val="single" w:color="8C8C8C" w:sz="4"/>
              <w:right w:val="single" w:color="8C8C8C" w:sz="4"/>
            </w:tcBorders>
            <w:shd w:fill="D9D9D9" w:color="auto" w:val="clear"/>
            <w:tcMar>
              <w:top w:type="dxa" w:w="45"/>
              <w:left w:type="dxa" w:w="80"/>
              <w:bottom w:type="dxa" w:w="45"/>
              <w:right w:type="dxa" w:w="80"/>
            </w:tcMar>
          </w:tcPr>
          <w:p>
            <w:pPr>
              <w:jc w:val="center"/>
            </w:pPr>
            <w:r>
              <w:rPr>
                <w:rFonts w:ascii="Times New Roman" w:cs="Times New Roman" w:eastAsia="Times New Roman" w:hAnsi="Times New Roman"/>
                <w:b/>
                <w:bCs/>
                <w:sz w:val="19"/>
                <w:szCs w:val="19"/>
              </w:rPr>
              <w:t xml:space="preserve">Cihaz üzerinde</w:t>
            </w:r>
          </w:p>
        </w:tc>
        <w:tc>
          <w:tcPr>
            <w:tcW w:type="dxa" w:w="1600"/>
            <w:tcBorders>
              <w:top w:val="single" w:color="8C8C8C" w:sz="4"/>
              <w:left w:val="single" w:color="8C8C8C" w:sz="4"/>
              <w:bottom w:val="single" w:color="8C8C8C" w:sz="4"/>
              <w:right w:val="single" w:color="8C8C8C" w:sz="4"/>
            </w:tcBorders>
            <w:shd w:fill="D9D9D9" w:color="auto" w:val="clear"/>
            <w:tcMar>
              <w:top w:type="dxa" w:w="45"/>
              <w:left w:type="dxa" w:w="80"/>
              <w:bottom w:type="dxa" w:w="45"/>
              <w:right w:type="dxa" w:w="80"/>
            </w:tcMar>
          </w:tcPr>
          <w:p>
            <w:pPr>
              <w:jc w:val="center"/>
            </w:pPr>
            <w:r>
              <w:rPr>
                <w:rFonts w:ascii="Times New Roman" w:cs="Times New Roman" w:eastAsia="Times New Roman" w:hAnsi="Times New Roman"/>
                <w:b/>
                <w:bCs/>
                <w:sz w:val="19"/>
                <w:szCs w:val="19"/>
              </w:rPr>
              <w:t xml:space="preserve">Belirsizlik / soru</w:t>
            </w:r>
          </w:p>
        </w:tc>
      </w:tr>
      <w:tr>
        <w:tc>
          <w:tcPr>
            <w:tcW w:type="dxa" w:w="3238"/>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Whisper [4]</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Kısmen [5]</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Kısmen</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r>
      <w:tr>
        <w:tc>
          <w:tcPr>
            <w:tcW w:type="dxa" w:w="3238"/>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GLUECoS [2]</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r>
      <w:tr>
        <w:tc>
          <w:tcPr>
            <w:tcW w:type="dxa" w:w="3238"/>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Türkçe–Almanca derlem [3]</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r>
      <w:tr>
        <w:tc>
          <w:tcPr>
            <w:tcW w:type="dxa" w:w="3238"/>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Snips [8]</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r>
      <w:tr>
        <w:tc>
          <w:tcPr>
            <w:tcW w:type="dxa" w:w="3238"/>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MASSIVE [13]</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r>
      <w:tr>
        <w:tc>
          <w:tcPr>
            <w:tcW w:type="dxa" w:w="3238"/>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Kalibrasyon ve seçici tahmin [16]–[19]</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r>
      <w:tr>
        <w:tc>
          <w:tcPr>
            <w:tcW w:type="dxa" w:w="3238"/>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Açıklama soruları [20], [21]</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r>
      <w:tr>
        <w:tc>
          <w:tcPr>
            <w:tcW w:type="dxa" w:w="3238"/>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Bu proje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tcPr>
          <w:p>
            <w:pPr>
              <w:jc w:val="left"/>
            </w:pPr>
            <w:r>
              <w:rPr>
                <w:rFonts w:ascii="Times New Roman" w:cs="Times New Roman" w:eastAsia="Times New Roman" w:hAnsi="Times New Roman"/>
                <w:b w:val="false"/>
                <w:bCs w:val="false"/>
                <w:sz w:val="19"/>
                <w:szCs w:val="19"/>
              </w:rPr>
              <w:t xml:space="preserve">✓</w:t>
            </w:r>
          </w:p>
        </w:tc>
      </w:tr>
    </w:tbl>
    <w:p>
      <w:pPr>
        <w:spacing w:after="60" w:line="276"/>
        <w:jc w:val="both"/>
      </w:pPr>
      <w:r>
        <w:rPr>
          <w:rFonts w:ascii="Times New Roman" w:cs="Times New Roman" w:eastAsia="Times New Roman" w:hAnsi="Times New Roman"/>
          <w:sz w:val="22"/>
          <w:szCs w:val="22"/>
        </w:rPr>
        <w:t xml:space="preserve"/>
      </w:r>
    </w:p>
    <w:p>
      <w:pPr>
        <w:spacing w:after="110" w:line="276"/>
        <w:jc w:val="both"/>
      </w:pPr>
      <w:r>
        <w:rPr>
          <w:rFonts w:ascii="Times New Roman" w:cs="Times New Roman" w:eastAsia="Times New Roman" w:hAnsi="Times New Roman"/>
          <w:sz w:val="22"/>
          <w:szCs w:val="22"/>
        </w:rPr>
        <w:t xml:space="preserve">İncelenen çalışmalar bu dört özellikten en fazla ikisini bir arada ele almaktadır. Türkçe–İngilizce karma sesli komutlarda, tamamen cihaz üzerinde çalışan ve konuşma tanıma ile anlam belirsizliğini birlikte değerlendirip açıklama sorusu soran bir sistem literatürde bulunmamaktadır. Proje bu boşluğu tam ölçekli bir çözümle değil; küçük ama kontrollü bir veri seti, ölçülebilir hedefler (öneri formundaki H1–H5) ve ablasyon çalışmasıyla hedeflemektedir.</w:t>
      </w:r>
    </w:p>
    <w:p>
      <w:pPr>
        <w:pStyle w:val="Heading1"/>
        <w:spacing w:after="90" w:before="220"/>
      </w:pPr>
      <w:r>
        <w:rPr>
          <w:rFonts w:ascii="Times New Roman" w:cs="Times New Roman" w:eastAsia="Times New Roman" w:hAnsi="Times New Roman"/>
          <w:b/>
          <w:bCs/>
          <w:sz w:val="24"/>
          <w:szCs w:val="24"/>
        </w:rPr>
        <w:t xml:space="preserve">10. Sonuç</w:t>
      </w:r>
    </w:p>
    <w:p>
      <w:pPr>
        <w:spacing w:after="110" w:line="276"/>
        <w:jc w:val="both"/>
      </w:pPr>
      <w:r>
        <w:rPr>
          <w:rFonts w:ascii="Times New Roman" w:cs="Times New Roman" w:eastAsia="Times New Roman" w:hAnsi="Times New Roman"/>
          <w:sz w:val="22"/>
          <w:szCs w:val="22"/>
        </w:rPr>
        <w:t xml:space="preserve">Literatür, (i) kod değiştirmenin konuşma ve dil işleme için belirgin bir zorluk olduğunu, (ii) Whisper’ın güçlü bir başlangıç noktası olmakla birlikte dil tanıma, halüsinasyon ve konuşmacı farklılıkları açısından sınırlılıklar taşıdığını, (iii) nicemleme ve hafif çalıştırma ortamlarıyla cihaz üzerinde çıkarımın mümkün olduğunu ve (iv) kalibre edilmiş güven ölçüleri ile seçici tahminin yanlış eylemleri azaltmak için uygun araçlar sunduğunu göstermektedir. Projenin pilot bulguları da bu tespitlerle uyumludur ve sonraki iş paketlerinde (İP3–İP5) izlenecek yöntemi doğrudan biçimlendirmiştir.</w:t>
      </w:r>
    </w:p>
    <w:p>
      <w:pPr>
        <w:pStyle w:val="Heading1"/>
        <w:spacing w:after="90" w:before="220"/>
      </w:pPr>
      <w:r>
        <w:rPr>
          <w:rFonts w:ascii="Times New Roman" w:cs="Times New Roman" w:eastAsia="Times New Roman" w:hAnsi="Times New Roman"/>
          <w:b/>
          <w:bCs/>
          <w:sz w:val="24"/>
          <w:szCs w:val="24"/>
        </w:rPr>
        <w:t xml:space="preserve">Kaynaklar</w:t>
      </w:r>
    </w:p>
    <w:p>
      <w:pPr>
        <w:spacing w:after="50" w:line="276"/>
        <w:ind w:left="420" w:hanging="420"/>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Sitaram, S., Chandu, K. R., Rallabandi, S. K. ve Black, A. W. (2019). A Survey of Code-switched Speech and Language Processing. arXiv:1904.00784.</w:t>
      </w:r>
    </w:p>
    <w:p>
      <w:pPr>
        <w:spacing w:after="50" w:line="276"/>
        <w:ind w:left="420" w:hanging="420"/>
        <w:jc w:val="both"/>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Khanuja, S., Dandapat, S., Srinivasan, A., Sitaram, S. ve Choudhury, M. (2020). GLUECoS: An Evaluation Benchmark for Code-Switched NLP. Proceedings of ACL 2020.</w:t>
      </w:r>
    </w:p>
    <w:p>
      <w:pPr>
        <w:spacing w:after="50" w:line="276"/>
        <w:ind w:left="420" w:hanging="420"/>
        <w:jc w:val="both"/>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Çetinoğlu, Ö. (2016). A Turkish-German Code-Switching Corpus. Proceedings of LREC 2016.</w:t>
      </w:r>
    </w:p>
    <w:p>
      <w:pPr>
        <w:spacing w:after="50" w:line="276"/>
        <w:ind w:left="420" w:hanging="420"/>
        <w:jc w:val="both"/>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Radford, A., Kim, J. W., Xu, T., Brockman, G., McLeavey, C. ve Sutskever, I. (2023). Robust Speech Recognition via Large-Scale Weak Supervision. Proceedings of ICML 2023.</w:t>
      </w:r>
    </w:p>
    <w:p>
      <w:pPr>
        <w:spacing w:after="50" w:line="276"/>
        <w:ind w:left="420" w:hanging="420"/>
        <w:jc w:val="both"/>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Peng, P., Yan, B., Watanabe, S. ve Harwath, D. (2023). Prompting the Hidden Talent of Web-Scale Speech Models for Zero-Shot Task Generalization. Proceedings of Interspeech 2023.</w:t>
      </w:r>
    </w:p>
    <w:p>
      <w:pPr>
        <w:spacing w:after="50" w:line="276"/>
        <w:ind w:left="420" w:hanging="420"/>
        <w:jc w:val="both"/>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Koenecke, A., Choi, A. S. G., Mei, K. X., Schellmann, H. ve Sloane, M. (2024). Careless Whisper: Speech-to-Text Hallucination Harms. Proceedings of ACM FAccT 2024.</w:t>
      </w:r>
    </w:p>
    <w:p>
      <w:pPr>
        <w:spacing w:after="50" w:line="276"/>
        <w:ind w:left="420" w:hanging="420"/>
        <w:jc w:val="both"/>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Koenecke, A., Nam, A., Lake, E., Nudell, J., Quartey, M., Mengesha, Z., Toups, C., Rickford, J. R., Jurafsky, D. ve Goel, S. (2020). Racial Disparities in Automated Speech Recognition. PNAS, 117(14), 7684–7689.</w:t>
      </w:r>
    </w:p>
    <w:p>
      <w:pPr>
        <w:spacing w:after="50" w:line="276"/>
        <w:ind w:left="420" w:hanging="420"/>
        <w:jc w:val="both"/>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Coucke, A. vd. (2018). Snips Voice Platform: An Embedded Spoken Language Understanding System for Private-by-Design Voice Interfaces. arXiv:1805.10190.</w:t>
      </w:r>
    </w:p>
    <w:p>
      <w:pPr>
        <w:spacing w:after="50" w:line="276"/>
        <w:ind w:left="420" w:hanging="420"/>
        <w:jc w:val="both"/>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ONNX Runtime Geliştiricileri (2021). ONNX Runtime: Cross-platform, High Performance ML Inferencing and Training Accelerator. https://onnxruntime.ai</w:t>
      </w:r>
    </w:p>
    <w:p>
      <w:pPr>
        <w:spacing w:after="50" w:line="276"/>
        <w:ind w:left="420" w:hanging="420"/>
        <w:jc w:val="both"/>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Gerganov, G. whisper.cpp: Port of OpenAI’s Whisper Model in C/C++. https://github.com/ggerganov/whisper.cpp</w:t>
      </w:r>
    </w:p>
    <w:p>
      <w:pPr>
        <w:spacing w:after="50" w:line="276"/>
        <w:ind w:left="420" w:hanging="420"/>
        <w:jc w:val="both"/>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Jacob, B. vd. (2018). Quantization and Training of Neural Networks for Efficient Integer-Arithmetic-Only Inference. Proceedings of CVPR 2018.</w:t>
      </w:r>
    </w:p>
    <w:p>
      <w:pPr>
        <w:spacing w:after="50" w:line="276"/>
        <w:ind w:left="420" w:hanging="420"/>
        <w:jc w:val="both"/>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Gandhi, S., von Platen, P. ve Rush, A. M. (2023). Distil-Whisper: Robust Knowledge Distillation via Large-Scale Pseudo Labelling. arXiv:2311.00430.</w:t>
      </w:r>
    </w:p>
    <w:p>
      <w:pPr>
        <w:spacing w:after="50" w:line="276"/>
        <w:ind w:left="420" w:hanging="420"/>
        <w:jc w:val="both"/>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FitzGerald, J. vd. (2023). MASSIVE: A 1M-Example Multilingual Natural Language Understanding Dataset with 51 Typologically-Diverse Languages. Proceedings of ACL 2023.</w:t>
      </w:r>
    </w:p>
    <w:p>
      <w:pPr>
        <w:spacing w:after="50" w:line="276"/>
        <w:ind w:left="420" w:hanging="420"/>
        <w:jc w:val="both"/>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Conneau, A. vd. (2020). Unsupervised Cross-lingual Representation Learning at Scale. Proceedings of ACL 2020.</w:t>
      </w:r>
    </w:p>
    <w:p>
      <w:pPr>
        <w:spacing w:after="50" w:line="276"/>
        <w:ind w:left="420" w:hanging="420"/>
        <w:jc w:val="both"/>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Reimers, N. ve Gurevych, I. (2020). Making Monolingual Sentence Embeddings Multilingual using Knowledge Distillation. Proceedings of EMNLP 2020.</w:t>
      </w:r>
    </w:p>
    <w:p>
      <w:pPr>
        <w:spacing w:after="50" w:line="276"/>
        <w:ind w:left="420" w:hanging="420"/>
        <w:jc w:val="both"/>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Jiang, H. (2005). Confidence Measures for Speech Recognition: A Survey. Speech Communication, 45(4), 455–470.</w:t>
      </w:r>
    </w:p>
    <w:p>
      <w:pPr>
        <w:spacing w:after="50" w:line="276"/>
        <w:ind w:left="420" w:hanging="420"/>
        <w:jc w:val="both"/>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Guo, C., Pleiss, G., Sun, Y. ve Weinberger, K. Q. (2017). On Calibration of Modern Neural Networks. Proceedings of ICML 2017.</w:t>
      </w:r>
    </w:p>
    <w:p>
      <w:pPr>
        <w:spacing w:after="50" w:line="276"/>
        <w:ind w:left="420" w:hanging="420"/>
        <w:jc w:val="both"/>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Hendrycks, D. ve Gimpel, K. (2017). A Baseline for Detecting Misclassified and Out-of-Distribution Examples in Neural Networks. Proceedings of ICLR 2017.</w:t>
      </w:r>
    </w:p>
    <w:p>
      <w:pPr>
        <w:spacing w:after="50" w:line="276"/>
        <w:ind w:left="420" w:hanging="420"/>
        <w:jc w:val="both"/>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Geifman, Y. ve El-Yaniv, R. (2017). Selective Classification for Deep Neural Networks. Advances in Neural Information Processing Systems (NeurIPS) 30.</w:t>
      </w:r>
    </w:p>
    <w:p>
      <w:pPr>
        <w:spacing w:after="50" w:line="276"/>
        <w:ind w:left="420" w:hanging="420"/>
        <w:jc w:val="both"/>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Rao, S. ve Daumé III, H. (2018). Learning to Ask Good Questions: Ranking Clarification Questions using Neural Expected Value of Perfect Information. Proceedings of ACL 2018.</w:t>
      </w:r>
    </w:p>
    <w:p>
      <w:pPr>
        <w:spacing w:after="50" w:line="276"/>
        <w:ind w:left="420" w:hanging="420"/>
        <w:jc w:val="both"/>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Aliannejadi, M., Zamani, H., Crestani, F. ve Croft, W. B. (2019). Asking Clarifying Questions in Open-Domain Information-Seeking Conversations. Proceedings of SIGIR 2019.</w:t>
      </w:r>
    </w:p>
    <w:p>
      <w:pPr>
        <w:spacing w:after="50" w:line="276"/>
        <w:ind w:left="420" w:hanging="420"/>
        <w:jc w:val="both"/>
      </w:pPr>
      <w:r>
        <w:rPr>
          <w:rFonts w:ascii="Times New Roman" w:cs="Times New Roman" w:eastAsia="Times New Roman" w:hAnsi="Times New Roman"/>
          <w:b/>
          <w:bCs/>
          <w:sz w:val="20"/>
          <w:szCs w:val="20"/>
        </w:rPr>
        <w:t xml:space="preserve">[22] </w:t>
      </w:r>
      <w:r>
        <w:rPr>
          <w:rFonts w:ascii="Times New Roman" w:cs="Times New Roman" w:eastAsia="Times New Roman" w:hAnsi="Times New Roman"/>
          <w:sz w:val="20"/>
          <w:szCs w:val="20"/>
        </w:rPr>
        <w:t xml:space="preserve">Ardila, R. vd. (2020). Common Voice: A Massively-Multilingual Speech Corpus. Proceedings of LREC 2020.</w:t>
      </w:r>
    </w:p>
    <w:p>
      <w:pPr>
        <w:spacing w:after="50" w:line="276"/>
        <w:ind w:left="420" w:hanging="420"/>
        <w:jc w:val="both"/>
      </w:pPr>
      <w:r>
        <w:rPr>
          <w:rFonts w:ascii="Times New Roman" w:cs="Times New Roman" w:eastAsia="Times New Roman" w:hAnsi="Times New Roman"/>
          <w:b/>
          <w:bCs/>
          <w:sz w:val="20"/>
          <w:szCs w:val="20"/>
        </w:rPr>
        <w:t xml:space="preserve">[23] </w:t>
      </w:r>
      <w:r>
        <w:rPr>
          <w:rFonts w:ascii="Times New Roman" w:cs="Times New Roman" w:eastAsia="Times New Roman" w:hAnsi="Times New Roman"/>
          <w:sz w:val="20"/>
          <w:szCs w:val="20"/>
        </w:rPr>
        <w:t xml:space="preserve">Snyder, D., Chen, G. ve Povey, D. (2015). MUSAN: A Music, Speech, and Noise Corpus. arXiv:1510.08484.</w:t>
      </w:r>
    </w:p>
    <w:p>
      <w:pPr>
        <w:spacing w:after="50" w:line="276"/>
        <w:ind w:left="420" w:hanging="420"/>
        <w:jc w:val="both"/>
      </w:pPr>
      <w:r>
        <w:rPr>
          <w:rFonts w:ascii="Times New Roman" w:cs="Times New Roman" w:eastAsia="Times New Roman" w:hAnsi="Times New Roman"/>
          <w:b/>
          <w:bCs/>
          <w:sz w:val="20"/>
          <w:szCs w:val="20"/>
        </w:rPr>
        <w:t xml:space="preserve">[24] </w:t>
      </w:r>
      <w:r>
        <w:rPr>
          <w:rFonts w:ascii="Times New Roman" w:cs="Times New Roman" w:eastAsia="Times New Roman" w:hAnsi="Times New Roman"/>
          <w:sz w:val="20"/>
          <w:szCs w:val="20"/>
        </w:rPr>
        <w:t xml:space="preserve">6698 sayılı Kişisel Verilerin Korunması Kanunu. Resmî Gazete, 7 Nisan 2016, Sayı: 29677.</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2026-10-21T12:26:41.327Z</dcterms:created>
  <dcterms:modified xsi:type="dcterms:W3CDTF">2026-10-21T12:26:41.327Z</dcterms:modified>
</cp:coreProperties>
</file>

<file path=docProps/custom.xml><?xml version="1.0" encoding="utf-8"?>
<Properties xmlns="http://schemas.openxmlformats.org/officeDocument/2006/custom-properties" xmlns:vt="http://schemas.openxmlformats.org/officeDocument/2006/docPropsVTypes"/>
</file>