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C5" w:rsidRDefault="000328C5" w:rsidP="000328C5">
      <w:pPr>
        <w:tabs>
          <w:tab w:val="right" w:leader="underscore" w:pos="6480"/>
        </w:tabs>
        <w:rPr>
          <w:sz w:val="52"/>
        </w:rPr>
      </w:pPr>
      <w:r>
        <w:rPr>
          <w:sz w:val="52"/>
        </w:rPr>
        <w:t xml:space="preserve">Renal Artery </w:t>
      </w:r>
      <w:proofErr w:type="spellStart"/>
      <w:r>
        <w:rPr>
          <w:sz w:val="52"/>
        </w:rPr>
        <w:t>Stenosis</w:t>
      </w:r>
      <w:proofErr w:type="spellEnd"/>
    </w:p>
    <w:p w:rsidR="000328C5" w:rsidRDefault="000328C5" w:rsidP="000328C5">
      <w:pPr>
        <w:tabs>
          <w:tab w:val="right" w:leader="underscore" w:pos="6480"/>
        </w:tabs>
      </w:pPr>
    </w:p>
    <w:p w:rsidR="000328C5" w:rsidRDefault="00446B24" w:rsidP="000328C5">
      <w:pPr>
        <w:rPr>
          <w:sz w:val="26"/>
        </w:rPr>
      </w:pPr>
      <w:r w:rsidRPr="00446B24"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Partial obstruction of a renal artery --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-- produces hypertension.  Clinically, the cause is often atherosclerosis or comparable forms of vascular damage.  Experimentally,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produced by a clamp.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Before the work of Harry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, there was no reliable way to produce hypertension in experimental animals.  Then Dr.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demonstrated that partial constriction of the renal arteries produces a sustained blood pressure increase (shown below, data from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>) that is proportional to the severity of the constriction.  This technique was then simplified to partial constriction of one renal artery with surgical removal of the other kidney.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ind w:left="720"/>
        <w:jc w:val="center"/>
      </w:pPr>
      <w:r>
        <w:object w:dxaOrig="4327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0.5pt" o:ole="">
            <v:imagedata r:id="rId4" o:title=""/>
          </v:shape>
          <o:OLEObject Type="Embed" ProgID="Unknown" ShapeID="_x0000_i1025" DrawAspect="Content" ObjectID="_1369225384" r:id="rId5">
            <o:FieldCodes>\* MERGEFORMAT</o:FieldCodes>
          </o:OLEObject>
        </w:object>
      </w:r>
    </w:p>
    <w:p w:rsidR="000328C5" w:rsidRDefault="000328C5" w:rsidP="000328C5">
      <w:pPr>
        <w:pStyle w:val="BodyText2"/>
        <w:ind w:firstLine="0"/>
      </w:pPr>
    </w:p>
    <w:p w:rsidR="000328C5" w:rsidRDefault="000328C5" w:rsidP="000328C5">
      <w:pPr>
        <w:pStyle w:val="BodyText2"/>
        <w:ind w:left="1440" w:firstLine="0"/>
      </w:pPr>
      <w:r>
        <w:rPr>
          <w:sz w:val="24"/>
        </w:rPr>
        <w:t xml:space="preserve">Clinically, hypertension due to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relatively rare and potentially</w:t>
      </w:r>
      <w:r>
        <w:t xml:space="preserve"> </w:t>
      </w:r>
      <w:r>
        <w:rPr>
          <w:sz w:val="24"/>
        </w:rPr>
        <w:t>very serious.  It is often surgically correctable.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decreases pressure in the renal vasculature beyond the obstruction.  Decreased pressure immediately decreases salt and water excretion. 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secretion is stimulated.  First </w:t>
      </w:r>
      <w:proofErr w:type="spellStart"/>
      <w:r>
        <w:rPr>
          <w:sz w:val="24"/>
        </w:rPr>
        <w:t>angiotensin</w:t>
      </w:r>
      <w:proofErr w:type="spellEnd"/>
      <w:r>
        <w:rPr>
          <w:sz w:val="24"/>
        </w:rPr>
        <w:t xml:space="preserve"> II and then retained sodium work to elevate systemic arterial pressure.  An increase in arterial pressure elevates renal artery pressure beyond the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and sodium balance is reestablished.  The price paid for reestablishing sodium balance is chronic arterial hypertension (shown below, data from Murphy).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ind w:left="720"/>
        <w:jc w:val="center"/>
      </w:pPr>
      <w:r>
        <w:object w:dxaOrig="4283" w:dyaOrig="2550">
          <v:shape id="_x0000_i1026" type="#_x0000_t75" style="width:214.5pt;height:127.5pt" o:ole="">
            <v:imagedata r:id="rId6" o:title=""/>
          </v:shape>
          <o:OLEObject Type="Embed" ProgID="Unknown" ShapeID="_x0000_i1026" DrawAspect="Content" ObjectID="_1369225385" r:id="rId7">
            <o:FieldCodes>\* MERGEFORMAT</o:FieldCodes>
          </o:OLEObject>
        </w:objec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Heading2"/>
        <w:rPr>
          <w:sz w:val="30"/>
        </w:rPr>
      </w:pPr>
      <w:r>
        <w:rPr>
          <w:sz w:val="30"/>
        </w:rPr>
        <w:t xml:space="preserve">The Renal Artery </w:t>
      </w:r>
      <w:proofErr w:type="spellStart"/>
      <w:r>
        <w:rPr>
          <w:sz w:val="30"/>
        </w:rPr>
        <w:t>Stenosis</w:t>
      </w:r>
      <w:proofErr w:type="spellEnd"/>
      <w:r>
        <w:rPr>
          <w:sz w:val="30"/>
        </w:rPr>
        <w:t xml:space="preserve"> Protocol</w:t>
      </w:r>
    </w:p>
    <w:p w:rsidR="000328C5" w:rsidRDefault="000328C5" w:rsidP="000328C5">
      <w:pPr>
        <w:pStyle w:val="BodyText2"/>
        <w:ind w:left="1440" w:firstLine="0"/>
      </w:pPr>
      <w:r>
        <w:rPr>
          <w:sz w:val="24"/>
        </w:rPr>
        <w:t xml:space="preserve">Begin by clicking </w:t>
      </w:r>
      <w:r>
        <w:rPr>
          <w:sz w:val="24"/>
          <w:u w:val="single"/>
        </w:rPr>
        <w:t>R</w:t>
      </w:r>
      <w:r>
        <w:rPr>
          <w:sz w:val="24"/>
        </w:rPr>
        <w:t>estart to reset the model’s variables to their initial values.  Record control data in the</w:t>
      </w:r>
      <w:r>
        <w:t xml:space="preserve"> </w:t>
      </w:r>
      <w:r>
        <w:rPr>
          <w:sz w:val="24"/>
        </w:rPr>
        <w:t xml:space="preserve">table below. Then go to </w:t>
      </w:r>
      <w:r>
        <w:rPr>
          <w:noProof/>
          <w:sz w:val="20"/>
        </w:rPr>
        <w:drawing>
          <wp:inline distT="0" distB="0" distL="0" distR="0">
            <wp:extent cx="323850" cy="2952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Circulation.  Slide the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slidebar</w:t>
      </w:r>
      <w:proofErr w:type="spellEnd"/>
      <w:r>
        <w:rPr>
          <w:sz w:val="24"/>
        </w:rPr>
        <w:t xml:space="preserve"> over to severe and record</w:t>
      </w:r>
      <w:r>
        <w:t xml:space="preserve"> </w:t>
      </w:r>
      <w:r>
        <w:rPr>
          <w:sz w:val="24"/>
        </w:rPr>
        <w:t>data for</w:t>
      </w:r>
      <w:r>
        <w:t xml:space="preserve"> </w:t>
      </w:r>
      <w:r>
        <w:rPr>
          <w:sz w:val="24"/>
        </w:rPr>
        <w:t>the immediate response (0+).  Advance time and record data as hypertension develops.</w:t>
      </w:r>
    </w:p>
    <w:p w:rsidR="000328C5" w:rsidRDefault="000328C5" w:rsidP="000328C5">
      <w:pPr>
        <w:pStyle w:val="BodyText2"/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Artery Pressure (mmHg)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Fluid Volume (L)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</w:tbl>
    <w:p w:rsidR="000328C5" w:rsidRDefault="000328C5" w:rsidP="000328C5">
      <w:pPr>
        <w:ind w:left="720"/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810"/>
        <w:gridCol w:w="810"/>
        <w:gridCol w:w="810"/>
        <w:gridCol w:w="810"/>
        <w:gridCol w:w="900"/>
      </w:tblGrid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0328C5" w:rsidRDefault="000328C5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0+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Week</w:t>
            </w: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Sympathetics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CD5B76" w:rsidRPr="00CD5B76" w:rsidRDefault="00CD5B76" w:rsidP="00CD5B76">
      <w:pPr>
        <w:pStyle w:val="BodyText2"/>
        <w:rPr>
          <w:sz w:val="24"/>
          <w:szCs w:val="24"/>
        </w:rPr>
      </w:pPr>
      <w:r w:rsidRPr="00CD5B76">
        <w:rPr>
          <w:sz w:val="24"/>
          <w:szCs w:val="24"/>
          <w:highlight w:val="yellow"/>
        </w:rPr>
        <w:t xml:space="preserve">*** The acute effects were taken at 5 </w:t>
      </w:r>
      <w:proofErr w:type="spellStart"/>
      <w:r w:rsidRPr="00CD5B76">
        <w:rPr>
          <w:sz w:val="24"/>
          <w:szCs w:val="24"/>
          <w:highlight w:val="yellow"/>
        </w:rPr>
        <w:t>mins</w:t>
      </w:r>
      <w:proofErr w:type="spellEnd"/>
      <w:r w:rsidRPr="00CD5B76">
        <w:rPr>
          <w:sz w:val="24"/>
          <w:szCs w:val="24"/>
          <w:highlight w:val="yellow"/>
        </w:rPr>
        <w:t xml:space="preserve"> in </w:t>
      </w:r>
      <w:proofErr w:type="spellStart"/>
      <w:r w:rsidRPr="00CD5B76">
        <w:rPr>
          <w:sz w:val="24"/>
          <w:szCs w:val="24"/>
          <w:highlight w:val="yellow"/>
        </w:rPr>
        <w:t>HumMod</w:t>
      </w:r>
      <w:proofErr w:type="spellEnd"/>
    </w:p>
    <w:p w:rsidR="000328C5" w:rsidRDefault="000328C5" w:rsidP="000328C5">
      <w:pPr>
        <w:pStyle w:val="BodyText2"/>
      </w:pPr>
    </w:p>
    <w:p w:rsidR="000328C5" w:rsidRDefault="000328C5" w:rsidP="000328C5">
      <w:pPr>
        <w:pStyle w:val="Heading4"/>
        <w:rPr>
          <w:rFonts w:ascii="Arial" w:hAnsi="Arial"/>
          <w:b w:val="0"/>
          <w:sz w:val="30"/>
        </w:rPr>
      </w:pPr>
      <w:r>
        <w:rPr>
          <w:rFonts w:ascii="Arial" w:hAnsi="Arial"/>
          <w:b w:val="0"/>
          <w:sz w:val="30"/>
        </w:rPr>
        <w:t>References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keepLines/>
        <w:rPr>
          <w:sz w:val="24"/>
        </w:rPr>
      </w:pPr>
      <w:proofErr w:type="spellStart"/>
      <w:proofErr w:type="gramStart"/>
      <w:r>
        <w:rPr>
          <w:sz w:val="24"/>
        </w:rPr>
        <w:t>Goldblatt</w:t>
      </w:r>
      <w:proofErr w:type="spellEnd"/>
      <w:r>
        <w:rPr>
          <w:sz w:val="24"/>
        </w:rPr>
        <w:t xml:space="preserve">, H., J. Lynch, R. F. </w:t>
      </w:r>
      <w:proofErr w:type="spellStart"/>
      <w:r>
        <w:rPr>
          <w:sz w:val="24"/>
        </w:rPr>
        <w:t>Hanzal</w:t>
      </w:r>
      <w:proofErr w:type="spellEnd"/>
      <w:r>
        <w:rPr>
          <w:sz w:val="24"/>
        </w:rPr>
        <w:t>, &amp; W. W. Summerville.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Studies on experimental hypertension.</w:t>
      </w:r>
      <w:proofErr w:type="gramEnd"/>
      <w:r>
        <w:rPr>
          <w:sz w:val="24"/>
        </w:rPr>
        <w:t xml:space="preserve"> I. The production of persistent elevation of systolic blood pressure by means of renal ischemia.  J. Exp. Med.  59:347-379, 1934.</w:t>
      </w:r>
    </w:p>
    <w:p w:rsidR="000328C5" w:rsidRDefault="000328C5" w:rsidP="000328C5">
      <w:pPr>
        <w:pStyle w:val="BodyText2"/>
        <w:rPr>
          <w:sz w:val="24"/>
        </w:rPr>
      </w:pPr>
    </w:p>
    <w:p w:rsidR="000328C5" w:rsidRDefault="000328C5" w:rsidP="000328C5">
      <w:pPr>
        <w:pStyle w:val="BodyText2"/>
        <w:keepLines/>
        <w:rPr>
          <w:sz w:val="24"/>
        </w:rPr>
      </w:pPr>
      <w:proofErr w:type="gramStart"/>
      <w:r>
        <w:rPr>
          <w:sz w:val="24"/>
        </w:rPr>
        <w:t xml:space="preserve">Murphy, W. R., T. G. Coleman, T. L. Smith, &amp; K. A. </w:t>
      </w:r>
      <w:proofErr w:type="spellStart"/>
      <w:r>
        <w:rPr>
          <w:sz w:val="24"/>
        </w:rPr>
        <w:t>Stanek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 xml:space="preserve">Effects of graded renal artery constriction on blood pressure, renal artery pressure, and plasma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activity in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hypertension.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Hypertension  6:68</w:t>
      </w:r>
      <w:proofErr w:type="gramEnd"/>
      <w:r>
        <w:rPr>
          <w:sz w:val="24"/>
        </w:rPr>
        <w:t>-74, 1984.</w:t>
      </w:r>
    </w:p>
    <w:p w:rsidR="000328C5" w:rsidRDefault="000328C5" w:rsidP="000328C5">
      <w:pPr>
        <w:pStyle w:val="BodyText2"/>
      </w:pPr>
    </w:p>
    <w:p w:rsidR="00A5292A" w:rsidRPr="000328C5" w:rsidRDefault="00A5292A" w:rsidP="000328C5"/>
    <w:sectPr w:rsidR="00A5292A" w:rsidRPr="000328C5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87A"/>
    <w:rsid w:val="000328C5"/>
    <w:rsid w:val="00075764"/>
    <w:rsid w:val="001D0513"/>
    <w:rsid w:val="00446B24"/>
    <w:rsid w:val="00510ED1"/>
    <w:rsid w:val="00545B38"/>
    <w:rsid w:val="00546BEE"/>
    <w:rsid w:val="008204ED"/>
    <w:rsid w:val="008577D3"/>
    <w:rsid w:val="00A5292A"/>
    <w:rsid w:val="00CD5B76"/>
    <w:rsid w:val="00D5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5687A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D5687A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87A"/>
    <w:rPr>
      <w:rFonts w:ascii="Arial" w:eastAsia="Times New Roman" w:hAnsi="Arial" w:cs="Times New Roman"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D5687A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D56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687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5687A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D5687A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2011-06-10T20:37:00Z</dcterms:created>
  <dcterms:modified xsi:type="dcterms:W3CDTF">2011-06-10T20:37:00Z</dcterms:modified>
</cp:coreProperties>
</file>