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2C9" w:rsidRDefault="000562C9" w:rsidP="000562C9">
      <w:pPr>
        <w:pStyle w:val="Heading2"/>
        <w:numPr>
          <w:ilvl w:val="12"/>
          <w:numId w:val="0"/>
        </w:numPr>
        <w:spacing w:line="240" w:lineRule="auto"/>
        <w:rPr>
          <w:sz w:val="52"/>
        </w:rPr>
      </w:pPr>
      <w:proofErr w:type="spellStart"/>
      <w:r>
        <w:rPr>
          <w:sz w:val="52"/>
        </w:rPr>
        <w:t>Pneumothorax</w:t>
      </w:r>
      <w:proofErr w:type="spellEnd"/>
    </w:p>
    <w:p w:rsidR="000562C9" w:rsidRDefault="000562C9" w:rsidP="000562C9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7" style="position:absolute;z-index:251660288" from="0,2.9pt" to="324pt,2.95pt" o:allowincell="f" strokeweight="2pt"/>
        </w:pic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Inspiration moves the ribcage out and the diaphragm down, creating a negative pressure in the pleural space.  This negative pressure pulls at and inflates the lungs.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If air is allowed to enter the pleural space from the lung or through the ribcage during inspiration, the lung does not inflate.  This is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>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Bilateral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 is quickly fatal if not attended to immediately.  Unilateral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 is more interesting physiologically and is the topic of this exercise.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Unilateral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 has three main components.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pStyle w:val="BodyText2"/>
        <w:numPr>
          <w:ilvl w:val="12"/>
          <w:numId w:val="0"/>
        </w:numPr>
        <w:ind w:left="720"/>
        <w:rPr>
          <w:sz w:val="24"/>
        </w:rPr>
      </w:pPr>
      <w:r>
        <w:rPr>
          <w:sz w:val="24"/>
        </w:rPr>
        <w:t xml:space="preserve">The negative pleural pressure is lost on the </w:t>
      </w:r>
      <w:proofErr w:type="spellStart"/>
      <w:r>
        <w:rPr>
          <w:sz w:val="24"/>
        </w:rPr>
        <w:t>ipsilateral</w:t>
      </w:r>
      <w:proofErr w:type="spellEnd"/>
      <w:r>
        <w:rPr>
          <w:sz w:val="24"/>
        </w:rPr>
        <w:t xml:space="preserve"> side.  This pressure tends to hold open the pulmonary blood vessels and when it is lost the pulmonary vascular resistance increases and cardiac output decreases (Ann. Thoracic Surg., 1993).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loss of negative pleural pressure and increased pulmonary vascular resistance on the </w:t>
      </w:r>
      <w:proofErr w:type="spellStart"/>
      <w:r>
        <w:rPr>
          <w:rFonts w:ascii="Arial" w:hAnsi="Arial"/>
          <w:sz w:val="24"/>
        </w:rPr>
        <w:t>ipsilateral</w:t>
      </w:r>
      <w:proofErr w:type="spellEnd"/>
      <w:r>
        <w:rPr>
          <w:rFonts w:ascii="Arial" w:hAnsi="Arial"/>
          <w:sz w:val="24"/>
        </w:rPr>
        <w:t xml:space="preserve"> side reroutes some pulmonary blood flow the </w:t>
      </w:r>
      <w:proofErr w:type="spellStart"/>
      <w:r>
        <w:rPr>
          <w:rFonts w:ascii="Arial" w:hAnsi="Arial"/>
          <w:sz w:val="24"/>
        </w:rPr>
        <w:t>contralateral</w:t>
      </w:r>
      <w:proofErr w:type="spellEnd"/>
      <w:r>
        <w:rPr>
          <w:rFonts w:ascii="Arial" w:hAnsi="Arial"/>
          <w:sz w:val="24"/>
        </w:rPr>
        <w:t xml:space="preserve"> side where relatively normal lung inflation continues (</w:t>
      </w:r>
      <w:proofErr w:type="spellStart"/>
      <w:r>
        <w:rPr>
          <w:rFonts w:ascii="Arial" w:hAnsi="Arial"/>
          <w:sz w:val="24"/>
        </w:rPr>
        <w:t>Carvalho</w:t>
      </w:r>
      <w:proofErr w:type="spellEnd"/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 1996).  This is beneficial.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Thirdly, pulmonary blood flowing though the </w:t>
      </w:r>
      <w:proofErr w:type="spellStart"/>
      <w:r>
        <w:rPr>
          <w:rFonts w:ascii="Arial" w:hAnsi="Arial"/>
          <w:sz w:val="24"/>
        </w:rPr>
        <w:t>ipsilateral</w:t>
      </w:r>
      <w:proofErr w:type="spellEnd"/>
      <w:r>
        <w:rPr>
          <w:rFonts w:ascii="Arial" w:hAnsi="Arial"/>
          <w:sz w:val="24"/>
        </w:rPr>
        <w:t xml:space="preserve"> side is not oxygenated due to the absence of lung inflation.  This constitutes a massive right-to-left pulmonary shunt (</w:t>
      </w:r>
      <w:smartTag w:uri="urn:schemas-microsoft-com:office:smarttags" w:element="place">
        <w:r>
          <w:rPr>
            <w:rFonts w:ascii="Arial" w:hAnsi="Arial"/>
            <w:sz w:val="24"/>
          </w:rPr>
          <w:t>Rutherford</w:t>
        </w:r>
      </w:smartTag>
      <w:r>
        <w:rPr>
          <w:rFonts w:ascii="Arial" w:hAnsi="Arial"/>
          <w:sz w:val="24"/>
        </w:rPr>
        <w:t>, 1968).  Severe arterial hypoxia is the immediate result.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can view these consequences of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 in the exercise that follows.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Before undertaking the exercise, recall that arterial hypoxia stimulates ventilation.  Will this be beneficial?  Would administering 100% O2 help?  What will be the body’s long-term response to this condition?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keepNext/>
        <w:numPr>
          <w:ilvl w:val="12"/>
          <w:numId w:val="0"/>
        </w:numPr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The </w:t>
      </w:r>
      <w:proofErr w:type="spellStart"/>
      <w:r>
        <w:rPr>
          <w:rFonts w:ascii="Arial" w:hAnsi="Arial"/>
          <w:sz w:val="30"/>
        </w:rPr>
        <w:t>Pneumothorax</w:t>
      </w:r>
      <w:proofErr w:type="spellEnd"/>
      <w:r>
        <w:rPr>
          <w:rFonts w:ascii="Arial" w:hAnsi="Arial"/>
          <w:sz w:val="30"/>
        </w:rPr>
        <w:t xml:space="preserve"> Protocol</w:t>
      </w:r>
    </w:p>
    <w:p w:rsidR="000562C9" w:rsidRDefault="000562C9" w:rsidP="000562C9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then record control values.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Thorax</w:t>
      </w:r>
      <w:r>
        <w:rPr>
          <w:rFonts w:ascii="Arial" w:hAnsi="Arial"/>
          <w:sz w:val="24"/>
        </w:rPr>
        <w:t xml:space="preserve"> and </w:t>
      </w:r>
      <w:proofErr w:type="gramStart"/>
      <w:r>
        <w:rPr>
          <w:rFonts w:ascii="Arial" w:hAnsi="Arial"/>
          <w:sz w:val="24"/>
        </w:rPr>
        <w:t>click open</w:t>
      </w:r>
      <w:proofErr w:type="gramEnd"/>
      <w:r>
        <w:rPr>
          <w:rFonts w:ascii="Arial" w:hAnsi="Arial"/>
          <w:sz w:val="24"/>
        </w:rPr>
        <w:t xml:space="preserve"> the right </w:t>
      </w:r>
      <w:proofErr w:type="spellStart"/>
      <w:r>
        <w:rPr>
          <w:rFonts w:ascii="Arial" w:hAnsi="Arial"/>
          <w:sz w:val="24"/>
        </w:rPr>
        <w:t>hemithorax</w:t>
      </w:r>
      <w:proofErr w:type="spellEnd"/>
      <w:r>
        <w:rPr>
          <w:rFonts w:ascii="Arial" w:hAnsi="Arial"/>
          <w:sz w:val="24"/>
        </w:rPr>
        <w:t xml:space="preserve">.  Record the acute hemodynamic effects of this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  Advance time and record data.  Look for evidence of compensation.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810"/>
        <w:gridCol w:w="4860"/>
      </w:tblGrid>
      <w:tr w:rsidR="000562C9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14325" cy="285750"/>
                  <wp:effectExtent l="19050" t="0" r="952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(Beats/Min</w:t>
            </w: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8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8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Ventilation (L/Min)</w:t>
            </w:r>
          </w:p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Ventilation Rate (/Min)</w:t>
            </w:r>
          </w:p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Tidal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Right Lung Inflation (x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  <w:r>
              <w:rPr>
                <w:rFonts w:ascii="Arial" w:hAnsi="Arial"/>
                <w:sz w:val="24"/>
              </w:rPr>
              <w:t>)</w:t>
            </w:r>
          </w:p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Lung Inflation (x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  <w:r>
              <w:rPr>
                <w:rFonts w:ascii="Arial" w:hAnsi="Arial"/>
                <w:sz w:val="24"/>
              </w:rPr>
              <w:t>)</w:t>
            </w:r>
          </w:p>
          <w:p w:rsidR="000562C9" w:rsidRDefault="000562C9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Respiratory Drive (x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990"/>
        <w:gridCol w:w="1080"/>
      </w:tblGrid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pStyle w:val="Heading1"/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Acute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 Week</w:t>
            </w: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Ventilation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Ventilation Rate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Tidal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Right Inflation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Left Inflation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0562C9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Respiratory Drive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2C9" w:rsidRDefault="000562C9" w:rsidP="001B601E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keepNext/>
        <w:numPr>
          <w:ilvl w:val="12"/>
          <w:numId w:val="0"/>
        </w:numPr>
        <w:rPr>
          <w:rFonts w:ascii="Arial" w:hAnsi="Arial"/>
          <w:sz w:val="30"/>
        </w:rPr>
      </w:pPr>
      <w:r>
        <w:rPr>
          <w:rFonts w:ascii="Arial" w:hAnsi="Arial"/>
          <w:sz w:val="30"/>
        </w:rPr>
        <w:t>References</w:t>
      </w:r>
    </w:p>
    <w:p w:rsidR="000562C9" w:rsidRDefault="000562C9" w:rsidP="000562C9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Carvalho</w:t>
      </w:r>
      <w:proofErr w:type="spellEnd"/>
      <w:r>
        <w:rPr>
          <w:rFonts w:ascii="Arial" w:hAnsi="Arial"/>
          <w:sz w:val="24"/>
        </w:rPr>
        <w:t xml:space="preserve">, P., J. </w:t>
      </w:r>
      <w:proofErr w:type="spellStart"/>
      <w:r>
        <w:rPr>
          <w:rFonts w:ascii="Arial" w:hAnsi="Arial"/>
          <w:sz w:val="24"/>
        </w:rPr>
        <w:t>Hilderbrandt</w:t>
      </w:r>
      <w:proofErr w:type="spellEnd"/>
      <w:r>
        <w:rPr>
          <w:rFonts w:ascii="Arial" w:hAnsi="Arial"/>
          <w:sz w:val="24"/>
        </w:rPr>
        <w:t xml:space="preserve"> and N.B. </w:t>
      </w:r>
      <w:proofErr w:type="spellStart"/>
      <w:r>
        <w:rPr>
          <w:rFonts w:ascii="Arial" w:hAnsi="Arial"/>
          <w:sz w:val="24"/>
        </w:rPr>
        <w:t>Charan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Changes in bronchial and pulmonary artery blood flow with progressive tension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.  </w:t>
      </w:r>
      <w:r>
        <w:rPr>
          <w:rFonts w:ascii="Arial" w:hAnsi="Arial"/>
          <w:i/>
          <w:sz w:val="24"/>
        </w:rPr>
        <w:t>J. Appl. Physiol.</w:t>
      </w:r>
      <w:r>
        <w:rPr>
          <w:rFonts w:ascii="Arial" w:hAnsi="Arial"/>
          <w:sz w:val="24"/>
        </w:rPr>
        <w:t xml:space="preserve">  81:1664, 1996.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i/>
          <w:sz w:val="24"/>
        </w:rPr>
        <w:t>Ann. Thoracic Surg.</w:t>
      </w:r>
      <w:proofErr w:type="gramEnd"/>
      <w:r>
        <w:rPr>
          <w:rFonts w:ascii="Arial" w:hAnsi="Arial"/>
          <w:sz w:val="24"/>
        </w:rPr>
        <w:t xml:space="preserve">  55:1379, 1993.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smartTag w:uri="urn:schemas-microsoft-com:office:smarttags" w:element="place">
        <w:r>
          <w:rPr>
            <w:rFonts w:ascii="Arial" w:hAnsi="Arial"/>
            <w:sz w:val="24"/>
          </w:rPr>
          <w:t>Rutherford</w:t>
        </w:r>
      </w:smartTag>
      <w:r>
        <w:rPr>
          <w:rFonts w:ascii="Arial" w:hAnsi="Arial"/>
          <w:sz w:val="24"/>
        </w:rPr>
        <w:t xml:space="preserve">.  </w:t>
      </w:r>
      <w:r>
        <w:rPr>
          <w:rFonts w:ascii="Arial" w:hAnsi="Arial"/>
          <w:i/>
          <w:sz w:val="24"/>
        </w:rPr>
        <w:t xml:space="preserve">J. </w:t>
      </w:r>
      <w:proofErr w:type="gramStart"/>
      <w:r>
        <w:rPr>
          <w:rFonts w:ascii="Arial" w:hAnsi="Arial"/>
          <w:i/>
          <w:sz w:val="24"/>
        </w:rPr>
        <w:t>Trauma</w:t>
      </w:r>
      <w:r>
        <w:rPr>
          <w:rFonts w:ascii="Arial" w:hAnsi="Arial"/>
          <w:sz w:val="24"/>
        </w:rPr>
        <w:t xml:space="preserve">  8:212</w:t>
      </w:r>
      <w:proofErr w:type="gramEnd"/>
      <w:r>
        <w:rPr>
          <w:rFonts w:ascii="Arial" w:hAnsi="Arial"/>
          <w:sz w:val="24"/>
        </w:rPr>
        <w:t>, 1968.</w:t>
      </w:r>
    </w:p>
    <w:p w:rsidR="000562C9" w:rsidRDefault="000562C9" w:rsidP="000562C9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5292A" w:rsidRPr="000562C9" w:rsidRDefault="00A5292A" w:rsidP="000562C9"/>
    <w:sectPr w:rsidR="00A5292A" w:rsidRPr="000562C9" w:rsidSect="00295062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AD8" w:rsidRDefault="00E35AD8" w:rsidP="00B64221">
      <w:r>
        <w:separator/>
      </w:r>
    </w:p>
  </w:endnote>
  <w:endnote w:type="continuationSeparator" w:id="0">
    <w:p w:rsidR="00E35AD8" w:rsidRDefault="00E35AD8" w:rsidP="00B64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E35AD8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B64221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 w:rsidRPr="00B64221">
      <w:rPr>
        <w:noProof/>
      </w:rPr>
      <w:pict>
        <v:line id="_x0000_s2050" style="position:absolute;z-index:251661312" from="0,1.45pt" to="324.05pt,1.5pt" o:allowincell="f" strokeweight="2pt"/>
      </w:pict>
    </w:r>
  </w:p>
  <w:p w:rsidR="00FD30C0" w:rsidRDefault="0086523E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E35AD8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B64221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 w:rsidRPr="00B64221">
      <w:rPr>
        <w:noProof/>
      </w:rPr>
      <w:pict>
        <v:line id="_x0000_s2051" style="position:absolute;z-index:251662336" from="0,1.45pt" to="324.05pt,1.5pt" o:allowincell="f" strokeweight="2pt"/>
      </w:pict>
    </w:r>
  </w:p>
  <w:p w:rsidR="00FD30C0" w:rsidRDefault="0086523E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AD8" w:rsidRDefault="00E35AD8" w:rsidP="00B64221">
      <w:r>
        <w:separator/>
      </w:r>
    </w:p>
  </w:footnote>
  <w:footnote w:type="continuationSeparator" w:id="0">
    <w:p w:rsidR="00E35AD8" w:rsidRDefault="00E35AD8" w:rsidP="00B642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86523E">
    <w:pPr>
      <w:pStyle w:val="Head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proofErr w:type="spellStart"/>
    <w:proofErr w:type="gramStart"/>
    <w:r>
      <w:rPr>
        <w:rFonts w:ascii="Arial" w:hAnsi="Arial"/>
      </w:rPr>
      <w:t>Pneumothorax</w:t>
    </w:r>
    <w:proofErr w:type="spellEnd"/>
    <w:r>
      <w:rPr>
        <w:rFonts w:ascii="Arial" w:hAnsi="Arial"/>
      </w:rPr>
      <w:t xml:space="preserve">  </w:t>
    </w:r>
    <w:proofErr w:type="gramEnd"/>
    <w:r w:rsidR="00B6422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64221">
      <w:rPr>
        <w:rStyle w:val="PageNumber"/>
      </w:rPr>
      <w:fldChar w:fldCharType="separate"/>
    </w:r>
    <w:r w:rsidR="000562C9">
      <w:rPr>
        <w:rStyle w:val="PageNumber"/>
        <w:noProof/>
      </w:rPr>
      <w:t>2</w:t>
    </w:r>
    <w:r w:rsidR="00B64221">
      <w:rPr>
        <w:rStyle w:val="PageNumber"/>
      </w:rPr>
      <w:fldChar w:fldCharType="end"/>
    </w:r>
  </w:p>
  <w:p w:rsidR="00FD30C0" w:rsidRDefault="00B64221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 w:rsidRPr="00B64221">
      <w:rPr>
        <w:noProof/>
      </w:rPr>
      <w:pict>
        <v:line id="_x0000_s2049" style="position:absolute;z-index:251660288" from="0,9.65pt" to="324.05pt,9.7pt" o:allowincell="f" strokeweight="2pt"/>
      </w:pict>
    </w:r>
  </w:p>
  <w:p w:rsidR="00FD30C0" w:rsidRDefault="00E35AD8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6523E"/>
    <w:rsid w:val="000562C9"/>
    <w:rsid w:val="001D0513"/>
    <w:rsid w:val="00295062"/>
    <w:rsid w:val="0086523E"/>
    <w:rsid w:val="00A5292A"/>
    <w:rsid w:val="00B64221"/>
    <w:rsid w:val="00E3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6523E"/>
    <w:pPr>
      <w:keepNext/>
      <w:outlineLvl w:val="0"/>
    </w:pPr>
    <w:rPr>
      <w:rFonts w:ascii="Arial" w:hAnsi="Arial"/>
      <w:sz w:val="52"/>
    </w:rPr>
  </w:style>
  <w:style w:type="paragraph" w:styleId="Heading2">
    <w:name w:val="heading 2"/>
    <w:basedOn w:val="Normal"/>
    <w:next w:val="Normal"/>
    <w:link w:val="Heading2Char"/>
    <w:qFormat/>
    <w:rsid w:val="0086523E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523E"/>
    <w:rPr>
      <w:rFonts w:ascii="Arial" w:eastAsia="Times New Roman" w:hAnsi="Arial" w:cs="Times New Roman"/>
      <w:sz w:val="52"/>
      <w:szCs w:val="20"/>
    </w:rPr>
  </w:style>
  <w:style w:type="character" w:customStyle="1" w:styleId="Heading2Char">
    <w:name w:val="Heading 2 Char"/>
    <w:basedOn w:val="DefaultParagraphFont"/>
    <w:link w:val="Heading2"/>
    <w:rsid w:val="0086523E"/>
    <w:rPr>
      <w:rFonts w:ascii="Arial" w:eastAsia="Times New Roman" w:hAnsi="Arial" w:cs="Times New Roman"/>
      <w:sz w:val="36"/>
      <w:szCs w:val="20"/>
    </w:rPr>
  </w:style>
  <w:style w:type="paragraph" w:styleId="Header">
    <w:name w:val="header"/>
    <w:basedOn w:val="Normal"/>
    <w:link w:val="HeaderChar"/>
    <w:rsid w:val="008652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6523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8652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6523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6523E"/>
  </w:style>
  <w:style w:type="paragraph" w:styleId="BodyText2">
    <w:name w:val="Body Text 2"/>
    <w:basedOn w:val="Normal"/>
    <w:link w:val="BodyText2Char"/>
    <w:rsid w:val="0086523E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86523E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2011-06-06T18:48:00Z</dcterms:created>
  <dcterms:modified xsi:type="dcterms:W3CDTF">2011-06-06T18:48:00Z</dcterms:modified>
</cp:coreProperties>
</file>