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8B" w:rsidRDefault="00A85E8B" w:rsidP="00A85E8B">
      <w:pPr>
        <w:numPr>
          <w:ilvl w:val="12"/>
          <w:numId w:val="0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52"/>
        </w:rPr>
        <w:t>Nephrotic</w:t>
      </w:r>
      <w:proofErr w:type="spellEnd"/>
      <w:r>
        <w:rPr>
          <w:rFonts w:ascii="Arial" w:hAnsi="Arial"/>
          <w:sz w:val="52"/>
        </w:rPr>
        <w:t xml:space="preserve"> Syndrome</w:t>
      </w:r>
    </w:p>
    <w:p w:rsidR="00A85E8B" w:rsidRDefault="00A85E8B" w:rsidP="00A85E8B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A85E8B" w:rsidRDefault="00A85E8B" w:rsidP="00A85E8B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58240" from="0,2.9pt" to="324pt,2.95pt" o:allowincell="f" strokeweight="2pt"/>
        </w:pict>
      </w:r>
    </w:p>
    <w:p w:rsidR="00A85E8B" w:rsidRDefault="00A85E8B" w:rsidP="00A85E8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characterized by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protein in the urine.</w:t>
      </w:r>
    </w:p>
    <w:p w:rsidR="00A85E8B" w:rsidRDefault="00A85E8B" w:rsidP="00A85E8B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A85E8B" w:rsidRDefault="00A85E8B" w:rsidP="00A85E8B">
      <w:pPr>
        <w:widowControl w:val="0"/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Depletion of vascular and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protein.</w:t>
      </w:r>
    </w:p>
    <w:p w:rsidR="00A85E8B" w:rsidRDefault="00A85E8B" w:rsidP="00A85E8B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A85E8B" w:rsidRDefault="00A85E8B" w:rsidP="00A85E8B">
      <w:pPr>
        <w:widowControl w:val="0"/>
        <w:numPr>
          <w:ilvl w:val="0"/>
          <w:numId w:val="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Loss of water across capillary walls to form interstitial edema.</w:t>
      </w:r>
    </w:p>
    <w:p w:rsidR="00A85E8B" w:rsidRDefault="00A85E8B" w:rsidP="00A85E8B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A85E8B" w:rsidRDefault="00A85E8B" w:rsidP="00A85E8B">
      <w:pPr>
        <w:widowControl w:val="0"/>
        <w:numPr>
          <w:ilvl w:val="0"/>
          <w:numId w:val="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retention of large amounts of salt and water used in creating the edema.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primary cause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is increased permeability to plasma protein, namely albumin,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leads to decreased protein concentration in the plasma and, consequently, decreased plasma colloid osmotic pressure.  This alters the Starling forces at the systemic and pulmonary capillaries to increase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 xml:space="preserve">.  We would also expect decreased colloid pressure to increase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filtration, enhancing sodium excretion.  This last response is not observed, leading to the notion that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has at least two importance causal components, both involving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0"/>
          <w:numId w:val="5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Increased protein permeability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A85E8B" w:rsidRDefault="00A85E8B" w:rsidP="00A85E8B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A85E8B" w:rsidRDefault="00A85E8B" w:rsidP="00A85E8B">
      <w:pPr>
        <w:widowControl w:val="0"/>
        <w:numPr>
          <w:ilvl w:val="0"/>
          <w:numId w:val="6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filtration coefficient at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We'll investigate both of these defects in this laboratory exercise, first separately and then combined.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Note that increased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 in the distal tubule and/or collecting has also been implicated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syndrome; this possibility will not be explored in this exercise.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</w:t>
      </w:r>
      <w:r>
        <w:rPr>
          <w:rFonts w:ascii="Arial" w:hAnsi="Arial"/>
          <w:sz w:val="24"/>
        </w:rPr>
        <w:t xml:space="preserve"> main menu selection to place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button on the toolbar.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Protein Loss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establish initial conditions.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protein </w:t>
      </w:r>
      <w:r>
        <w:rPr>
          <w:rFonts w:ascii="Arial" w:hAnsi="Arial"/>
          <w:sz w:val="24"/>
        </w:rPr>
        <w:lastRenderedPageBreak/>
        <w:t>loss.  Advance the solution 1 week.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Physical units for urinary protein loss are G/Min.  Calculate daily loss.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__</w:t>
      </w:r>
      <w:r>
        <w:rPr>
          <w:rFonts w:ascii="Arial" w:hAnsi="Arial"/>
          <w:sz w:val="24"/>
          <w:u w:val="single"/>
        </w:rPr>
        <w:t>0.0350</w:t>
      </w:r>
      <w:r>
        <w:rPr>
          <w:rFonts w:ascii="Arial" w:hAnsi="Arial"/>
          <w:sz w:val="24"/>
        </w:rPr>
        <w:t>____ G/Min x 1440 = ____</w:t>
      </w:r>
      <w:r>
        <w:rPr>
          <w:rFonts w:ascii="Arial" w:hAnsi="Arial"/>
          <w:sz w:val="24"/>
          <w:u w:val="single"/>
        </w:rPr>
        <w:t>50.4</w:t>
      </w:r>
      <w:r>
        <w:rPr>
          <w:rFonts w:ascii="Arial" w:hAnsi="Arial"/>
          <w:sz w:val="24"/>
        </w:rPr>
        <w:t>___ G/Day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***Value taken from day 1 not day 8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 w:rsidRPr="004F4548">
        <w:rPr>
          <w:rFonts w:ascii="Arial" w:hAnsi="Arial"/>
          <w:sz w:val="24"/>
          <w:highlight w:val="yellow"/>
        </w:rPr>
        <w:t xml:space="preserve">*** QCP does not have a total interstitial pressure but instead has one for upper middle and lower </w:t>
      </w:r>
      <w:proofErr w:type="gramStart"/>
      <w:r w:rsidRPr="004F4548">
        <w:rPr>
          <w:rFonts w:ascii="Arial" w:hAnsi="Arial"/>
          <w:sz w:val="24"/>
          <w:highlight w:val="yellow"/>
        </w:rPr>
        <w:t>torso’s</w:t>
      </w:r>
      <w:proofErr w:type="gramEnd"/>
      <w:r w:rsidRPr="004F4548">
        <w:rPr>
          <w:rFonts w:ascii="Arial" w:hAnsi="Arial"/>
          <w:sz w:val="24"/>
          <w:highlight w:val="yellow"/>
        </w:rPr>
        <w:t>. Those three values are represented here in respective order.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and note the change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that helped to prevent edema formation.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 summary, protein loss has caused some important changes in the body fluids, but it didn't cause significant edema.  Keep in mind that rapid edema formation requires a lot of salt and water retention.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extreme protein loss is fatal.  What do think will be the cause of death?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Sodium Retention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GFR Determinants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permeability down from 20 to 4.  Notice the immediate effect on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excretion.  Advance the solution 1 week.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Sodium balance has been reestablished after a modest increase in extracellular sodium.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Over this week, several mechanisms were quietly working to offset the decrease in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permeability.  Check on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0"/>
          <w:numId w:val="7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Arterial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Pressure</w:t>
      </w:r>
    </w:p>
    <w:p w:rsidR="00A85E8B" w:rsidRDefault="00A85E8B" w:rsidP="00A85E8B">
      <w:pPr>
        <w:widowControl w:val="0"/>
        <w:numPr>
          <w:ilvl w:val="0"/>
          <w:numId w:val="8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pressure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</w:p>
    <w:p w:rsidR="00A85E8B" w:rsidRDefault="00A85E8B" w:rsidP="00A85E8B">
      <w:pPr>
        <w:widowControl w:val="0"/>
        <w:numPr>
          <w:ilvl w:val="0"/>
          <w:numId w:val="9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</w:p>
    <w:p w:rsidR="00A85E8B" w:rsidRDefault="00A85E8B" w:rsidP="00A85E8B">
      <w:pPr>
        <w:widowControl w:val="0"/>
        <w:numPr>
          <w:ilvl w:val="0"/>
          <w:numId w:val="10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Atrial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Natriuretic</w:t>
      </w:r>
      <w:proofErr w:type="spellEnd"/>
      <w:r>
        <w:rPr>
          <w:rFonts w:ascii="Arial" w:hAnsi="Arial"/>
          <w:sz w:val="24"/>
        </w:rPr>
        <w:t xml:space="preserve"> Peptide</w:t>
      </w:r>
    </w:p>
    <w:p w:rsidR="00A85E8B" w:rsidRDefault="00A85E8B" w:rsidP="00A85E8B">
      <w:pPr>
        <w:widowControl w:val="0"/>
        <w:numPr>
          <w:ilvl w:val="0"/>
          <w:numId w:val="11"/>
        </w:numPr>
        <w:tabs>
          <w:tab w:val="left" w:pos="1080"/>
        </w:tabs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Aldosterone</w:t>
      </w:r>
      <w:proofErr w:type="spellEnd"/>
    </w:p>
    <w:p w:rsidR="00A85E8B" w:rsidRDefault="00A85E8B" w:rsidP="00A85E8B">
      <w:pPr>
        <w:widowControl w:val="0"/>
        <w:numPr>
          <w:ilvl w:val="0"/>
          <w:numId w:val="1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Renal nerve activity at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Autonomic </w:t>
      </w:r>
      <w:proofErr w:type="spellStart"/>
      <w:r>
        <w:rPr>
          <w:rFonts w:ascii="Arial" w:hAnsi="Arial"/>
          <w:sz w:val="24"/>
        </w:rPr>
        <w:t>Efferents</w:t>
      </w:r>
      <w:proofErr w:type="spellEnd"/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pStyle w:val="Heading1"/>
        <w:numPr>
          <w:ilvl w:val="12"/>
          <w:numId w:val="0"/>
        </w:numPr>
        <w:rPr>
          <w:sz w:val="30"/>
        </w:rPr>
      </w:pPr>
      <w:proofErr w:type="spellStart"/>
      <w:r>
        <w:rPr>
          <w:sz w:val="30"/>
        </w:rPr>
        <w:t>Nephrotic</w:t>
      </w:r>
      <w:proofErr w:type="spellEnd"/>
      <w:r>
        <w:rPr>
          <w:sz w:val="30"/>
        </w:rPr>
        <w:t xml:space="preserve"> Syndrome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 will now combine protein loss with sodium retention to create a model of </w:t>
      </w:r>
      <w:proofErr w:type="spellStart"/>
      <w:r>
        <w:rPr>
          <w:rFonts w:ascii="Arial" w:hAnsi="Arial"/>
          <w:sz w:val="24"/>
        </w:rPr>
        <w:lastRenderedPageBreak/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again to establish initial conditions.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Filtrate box in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panel and slide protein permeability up from none </w:t>
      </w:r>
      <w:proofErr w:type="spellStart"/>
      <w:r>
        <w:rPr>
          <w:rFonts w:ascii="Arial" w:hAnsi="Arial"/>
          <w:sz w:val="24"/>
        </w:rPr>
        <w:t>to</w:t>
      </w:r>
      <w:proofErr w:type="spellEnd"/>
      <w:r>
        <w:rPr>
          <w:rFonts w:ascii="Arial" w:hAnsi="Arial"/>
          <w:sz w:val="24"/>
        </w:rPr>
        <w:t xml:space="preserve"> severe.  Then slide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permeability down from 20 to 4 in the GFR Determinants box.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observe urinary sodium excretion and protein loss.  Advance the solution 1 month to capture the full effect.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Circulating Protein and note the changes in vascular and interstitial protein.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Protein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A85E8B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gridSpan w:val="0"/>
          </w:tcPr>
          <w:p w:rsidR="00A85E8B" w:rsidRDefault="00A85E8B">
            <w:pPr>
              <w:spacing w:after="200" w:line="27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object w:dxaOrig="2175" w:dyaOrig="3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16.5pt" o:ole="">
                  <v:imagedata r:id="rId12" o:title=""/>
                </v:shape>
                <o:OLEObject Type="Embed" ProgID="Excel.Sheet.12" ShapeID="_x0000_i1025" DrawAspect="Content" ObjectID="_1368616734" r:id="rId13"/>
              </w:objec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Concentration (G/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Colloid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 w:rsidRPr="004F4548">
        <w:rPr>
          <w:rFonts w:ascii="Arial" w:hAnsi="Arial"/>
          <w:sz w:val="24"/>
          <w:highlight w:val="yellow"/>
        </w:rPr>
        <w:t xml:space="preserve">*** QCP does not have a total interstitial pressure but instead has one for upper middle and lower </w:t>
      </w:r>
      <w:proofErr w:type="gramStart"/>
      <w:r w:rsidRPr="004F4548">
        <w:rPr>
          <w:rFonts w:ascii="Arial" w:hAnsi="Arial"/>
          <w:sz w:val="24"/>
          <w:highlight w:val="yellow"/>
        </w:rPr>
        <w:t>torso’s</w:t>
      </w:r>
      <w:proofErr w:type="gramEnd"/>
      <w:r w:rsidRPr="004F4548">
        <w:rPr>
          <w:rFonts w:ascii="Arial" w:hAnsi="Arial"/>
          <w:sz w:val="24"/>
          <w:highlight w:val="yellow"/>
        </w:rPr>
        <w:t>. Those three values are represented here in respective order.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note the distribution and movement of </w:t>
      </w:r>
      <w:proofErr w:type="spellStart"/>
      <w:r>
        <w:rPr>
          <w:rFonts w:ascii="Arial" w:hAnsi="Arial"/>
          <w:sz w:val="24"/>
        </w:rPr>
        <w:t>extravascular</w:t>
      </w:r>
      <w:proofErr w:type="spellEnd"/>
      <w:r>
        <w:rPr>
          <w:rFonts w:ascii="Arial" w:hAnsi="Arial"/>
          <w:sz w:val="24"/>
        </w:rPr>
        <w:t xml:space="preserve"> water.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Interstitial Volume (L)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Capillary Filtrate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Lymph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change in extracellular sodium mass.  Again, sodium balance has been reestablished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6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Extracellular Sodium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Mass (G)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2170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Wrap up by revisiting the determinants of sodium excretion explored in the previous section.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20"/>
        <w:gridCol w:w="1080"/>
        <w:gridCol w:w="1080"/>
      </w:tblGrid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z w:val="24"/>
                  </w:rPr>
                  <w:t>Normal</w:t>
                </w:r>
              </w:smartTag>
            </w:smartTag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Now</w:t>
            </w: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Glomerular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Natriuretic</w:t>
            </w:r>
            <w:proofErr w:type="spellEnd"/>
            <w:r>
              <w:rPr>
                <w:rFonts w:ascii="Arial" w:hAnsi="Arial"/>
                <w:sz w:val="24"/>
              </w:rPr>
              <w:t xml:space="preserve"> Peptide (Art)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Aldosterone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85E8B" w:rsidTr="006C34B3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Renal Nerve Activity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E8B" w:rsidRDefault="00A85E8B" w:rsidP="006C34B3">
            <w:pPr>
              <w:widowControl w:val="0"/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summary,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can show a variety of clinical faces, but the most typical elements are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widowControl w:val="0"/>
        <w:numPr>
          <w:ilvl w:val="0"/>
          <w:numId w:val="1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Protein loss by the kidney that lowers plasma colloid osmotic pressure and allows loss of salt and water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</w:p>
    <w:p w:rsidR="00A85E8B" w:rsidRDefault="00A85E8B" w:rsidP="00A85E8B">
      <w:pPr>
        <w:widowControl w:val="0"/>
        <w:numPr>
          <w:ilvl w:val="12"/>
          <w:numId w:val="0"/>
        </w:numPr>
        <w:tabs>
          <w:tab w:val="left" w:pos="1080"/>
        </w:tabs>
        <w:ind w:left="1080"/>
        <w:rPr>
          <w:rFonts w:ascii="Arial" w:hAnsi="Arial"/>
          <w:sz w:val="12"/>
        </w:rPr>
      </w:pPr>
    </w:p>
    <w:p w:rsidR="00A85E8B" w:rsidRDefault="00A85E8B" w:rsidP="00A85E8B">
      <w:pPr>
        <w:widowControl w:val="0"/>
        <w:numPr>
          <w:ilvl w:val="0"/>
          <w:numId w:val="1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Renal salt and water retention to furnish the interstitial edema fluid.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pStyle w:val="Heading1"/>
        <w:numPr>
          <w:ilvl w:val="12"/>
          <w:numId w:val="0"/>
        </w:numPr>
        <w:rPr>
          <w:sz w:val="30"/>
        </w:rPr>
      </w:pPr>
      <w:r>
        <w:rPr>
          <w:sz w:val="30"/>
        </w:rPr>
        <w:t>References</w:t>
      </w:r>
    </w:p>
    <w:p w:rsidR="00A85E8B" w:rsidRDefault="00A85E8B" w:rsidP="00A85E8B">
      <w:pPr>
        <w:widowControl w:val="0"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85E8B" w:rsidRDefault="00A85E8B" w:rsidP="00A85E8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Palmer, B.F. and R.J. </w:t>
      </w:r>
      <w:proofErr w:type="spellStart"/>
      <w:r>
        <w:rPr>
          <w:rFonts w:ascii="Arial" w:hAnsi="Arial"/>
          <w:sz w:val="24"/>
        </w:rPr>
        <w:t>Alpern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Pathogenesis of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i/>
          <w:sz w:val="24"/>
        </w:rPr>
        <w:t>Kidney Int. Suppl.</w:t>
      </w:r>
      <w:proofErr w:type="gramEnd"/>
      <w:r>
        <w:rPr>
          <w:rFonts w:ascii="Arial" w:hAnsi="Arial"/>
          <w:sz w:val="24"/>
        </w:rPr>
        <w:t xml:space="preserve">  59:S21-S27, 1997.</w:t>
      </w:r>
    </w:p>
    <w:p w:rsidR="00A5292A" w:rsidRDefault="00A5292A"/>
    <w:sectPr w:rsidR="00A5292A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29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FBD084E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11FA61C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149D0FCD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>
    <w:nsid w:val="1B1E7C6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1E34779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>
    <w:nsid w:val="247E3CFF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7">
    <w:nsid w:val="386719A3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8">
    <w:nsid w:val="3A185ECA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461E278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4D2C4F2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4EF37D70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50A47771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>
    <w:nsid w:val="62453C09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E8B"/>
    <w:rsid w:val="001D0513"/>
    <w:rsid w:val="004C66BD"/>
    <w:rsid w:val="00A5292A"/>
    <w:rsid w:val="00A8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85E8B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E8B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Office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2011-06-03T19:32:00Z</dcterms:created>
  <dcterms:modified xsi:type="dcterms:W3CDTF">2011-06-03T19:32:00Z</dcterms:modified>
</cp:coreProperties>
</file>