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019A" w14:textId="77777777" w:rsidR="00A64C4A" w:rsidRDefault="00A64C4A" w:rsidP="00A64C4A">
      <w:pPr>
        <w:jc w:val="center"/>
        <w:rPr>
          <w:b/>
          <w:bCs/>
          <w:sz w:val="36"/>
          <w:szCs w:val="36"/>
        </w:rPr>
      </w:pPr>
    </w:p>
    <w:p w14:paraId="4C09A32D" w14:textId="77777777" w:rsidR="00A64C4A" w:rsidRDefault="00A64C4A" w:rsidP="00A64C4A">
      <w:pPr>
        <w:jc w:val="center"/>
        <w:rPr>
          <w:b/>
          <w:bCs/>
          <w:sz w:val="36"/>
          <w:szCs w:val="36"/>
        </w:rPr>
      </w:pPr>
    </w:p>
    <w:p w14:paraId="4596850A" w14:textId="77777777" w:rsidR="00A64C4A" w:rsidRDefault="00A64C4A" w:rsidP="00A64C4A">
      <w:pPr>
        <w:jc w:val="center"/>
        <w:rPr>
          <w:b/>
          <w:bCs/>
          <w:sz w:val="36"/>
          <w:szCs w:val="36"/>
        </w:rPr>
      </w:pPr>
    </w:p>
    <w:p w14:paraId="0CC2CE76" w14:textId="77777777" w:rsidR="00A64C4A" w:rsidRDefault="00A64C4A" w:rsidP="00A64C4A">
      <w:pPr>
        <w:jc w:val="center"/>
        <w:rPr>
          <w:b/>
          <w:bCs/>
          <w:sz w:val="36"/>
          <w:szCs w:val="36"/>
        </w:rPr>
      </w:pPr>
    </w:p>
    <w:p w14:paraId="043FF109" w14:textId="77777777" w:rsidR="00A64C4A" w:rsidRPr="00A64C4A" w:rsidRDefault="00A64C4A" w:rsidP="00A64C4A">
      <w:pPr>
        <w:jc w:val="center"/>
        <w:rPr>
          <w:b/>
          <w:bCs/>
          <w:sz w:val="48"/>
          <w:szCs w:val="48"/>
        </w:rPr>
      </w:pPr>
    </w:p>
    <w:p w14:paraId="1C66B3E9" w14:textId="28774FDF" w:rsidR="00A64C4A" w:rsidRPr="00A64C4A" w:rsidRDefault="00A64C4A" w:rsidP="00A64C4A">
      <w:pPr>
        <w:jc w:val="center"/>
        <w:rPr>
          <w:b/>
          <w:bCs/>
          <w:sz w:val="48"/>
          <w:szCs w:val="48"/>
        </w:rPr>
      </w:pPr>
      <w:r w:rsidRPr="00A64C4A">
        <w:rPr>
          <w:b/>
          <w:bCs/>
          <w:sz w:val="48"/>
          <w:szCs w:val="48"/>
        </w:rPr>
        <w:t>Digital Futures Data Engineering Academy: Case Study Part 2</w:t>
      </w:r>
    </w:p>
    <w:p w14:paraId="5E36D3C3" w14:textId="77777777" w:rsidR="00A64C4A" w:rsidRPr="00A64C4A" w:rsidRDefault="00A64C4A" w:rsidP="00A64C4A">
      <w:pPr>
        <w:jc w:val="center"/>
        <w:rPr>
          <w:b/>
          <w:bCs/>
          <w:sz w:val="48"/>
          <w:szCs w:val="48"/>
        </w:rPr>
      </w:pPr>
    </w:p>
    <w:p w14:paraId="179D9D82" w14:textId="77777777" w:rsidR="00A64C4A" w:rsidRPr="00A64C4A" w:rsidRDefault="00A64C4A" w:rsidP="00A64C4A">
      <w:pPr>
        <w:jc w:val="center"/>
        <w:rPr>
          <w:b/>
          <w:bCs/>
          <w:sz w:val="48"/>
          <w:szCs w:val="48"/>
        </w:rPr>
      </w:pPr>
    </w:p>
    <w:p w14:paraId="392B2178" w14:textId="49E8F2A6" w:rsidR="00A64C4A" w:rsidRPr="00A64C4A" w:rsidRDefault="00A64C4A" w:rsidP="00A64C4A">
      <w:pPr>
        <w:jc w:val="center"/>
        <w:rPr>
          <w:b/>
          <w:bCs/>
          <w:sz w:val="48"/>
          <w:szCs w:val="48"/>
        </w:rPr>
      </w:pPr>
      <w:r w:rsidRPr="00A64C4A">
        <w:rPr>
          <w:b/>
          <w:bCs/>
          <w:sz w:val="48"/>
          <w:szCs w:val="48"/>
        </w:rPr>
        <w:t xml:space="preserve">Proposal for Migrating PETRA to AWS Cloud for </w:t>
      </w:r>
      <w:proofErr w:type="spellStart"/>
      <w:r w:rsidRPr="00A64C4A">
        <w:rPr>
          <w:b/>
          <w:bCs/>
          <w:sz w:val="48"/>
          <w:szCs w:val="48"/>
        </w:rPr>
        <w:t>FishTank</w:t>
      </w:r>
      <w:proofErr w:type="spellEnd"/>
      <w:r w:rsidRPr="00A64C4A">
        <w:rPr>
          <w:b/>
          <w:bCs/>
          <w:sz w:val="48"/>
          <w:szCs w:val="48"/>
        </w:rPr>
        <w:t xml:space="preserve"> Ltd</w:t>
      </w:r>
    </w:p>
    <w:p w14:paraId="60A874FC" w14:textId="77777777" w:rsidR="00A64C4A" w:rsidRDefault="00A64C4A" w:rsidP="00A64C4A">
      <w:pPr>
        <w:jc w:val="center"/>
        <w:rPr>
          <w:b/>
          <w:bCs/>
          <w:sz w:val="28"/>
          <w:szCs w:val="28"/>
        </w:rPr>
      </w:pPr>
    </w:p>
    <w:p w14:paraId="35581A3C" w14:textId="77777777" w:rsidR="00A64C4A" w:rsidRDefault="00A64C4A" w:rsidP="00A64C4A">
      <w:pPr>
        <w:jc w:val="left"/>
        <w:rPr>
          <w:b/>
          <w:bCs/>
          <w:sz w:val="28"/>
          <w:szCs w:val="28"/>
        </w:rPr>
      </w:pPr>
    </w:p>
    <w:p w14:paraId="03D85E54" w14:textId="77777777" w:rsidR="00A64C4A" w:rsidRDefault="00A64C4A" w:rsidP="00A64C4A">
      <w:pPr>
        <w:jc w:val="center"/>
        <w:rPr>
          <w:b/>
          <w:bCs/>
          <w:sz w:val="28"/>
          <w:szCs w:val="28"/>
        </w:rPr>
      </w:pPr>
    </w:p>
    <w:p w14:paraId="1A9F7C81" w14:textId="77777777" w:rsidR="00A64C4A" w:rsidRDefault="00A64C4A" w:rsidP="00A64C4A">
      <w:pPr>
        <w:jc w:val="center"/>
        <w:rPr>
          <w:b/>
          <w:bCs/>
          <w:sz w:val="28"/>
          <w:szCs w:val="28"/>
        </w:rPr>
      </w:pPr>
    </w:p>
    <w:p w14:paraId="64A211E2" w14:textId="77777777" w:rsidR="00A64C4A" w:rsidRDefault="00A64C4A" w:rsidP="00A64C4A">
      <w:pPr>
        <w:jc w:val="center"/>
        <w:rPr>
          <w:b/>
          <w:bCs/>
          <w:sz w:val="28"/>
          <w:szCs w:val="28"/>
        </w:rPr>
      </w:pPr>
    </w:p>
    <w:p w14:paraId="4755C610" w14:textId="77777777" w:rsidR="00A64C4A" w:rsidRDefault="00A64C4A" w:rsidP="00A64C4A">
      <w:pPr>
        <w:jc w:val="center"/>
        <w:rPr>
          <w:b/>
          <w:bCs/>
          <w:sz w:val="28"/>
          <w:szCs w:val="28"/>
        </w:rPr>
      </w:pPr>
    </w:p>
    <w:p w14:paraId="44C37057" w14:textId="77777777" w:rsidR="00A64C4A" w:rsidRDefault="00A64C4A" w:rsidP="00A64C4A">
      <w:pPr>
        <w:jc w:val="center"/>
        <w:rPr>
          <w:b/>
          <w:bCs/>
          <w:sz w:val="28"/>
          <w:szCs w:val="28"/>
        </w:rPr>
      </w:pPr>
    </w:p>
    <w:p w14:paraId="241AB9EA" w14:textId="77777777" w:rsidR="00A64C4A" w:rsidRDefault="00A64C4A" w:rsidP="00A64C4A">
      <w:pPr>
        <w:jc w:val="center"/>
        <w:rPr>
          <w:b/>
          <w:bCs/>
          <w:sz w:val="28"/>
          <w:szCs w:val="28"/>
        </w:rPr>
      </w:pPr>
    </w:p>
    <w:p w14:paraId="2E750C76" w14:textId="77777777" w:rsidR="00A64C4A" w:rsidRDefault="00A64C4A" w:rsidP="00A64C4A">
      <w:pPr>
        <w:jc w:val="center"/>
        <w:rPr>
          <w:b/>
          <w:bCs/>
          <w:sz w:val="28"/>
          <w:szCs w:val="28"/>
        </w:rPr>
      </w:pPr>
    </w:p>
    <w:p w14:paraId="513DF2F3" w14:textId="77777777" w:rsidR="00A64C4A" w:rsidRDefault="00A64C4A" w:rsidP="00A64C4A">
      <w:pPr>
        <w:jc w:val="center"/>
        <w:rPr>
          <w:b/>
          <w:bCs/>
          <w:sz w:val="28"/>
          <w:szCs w:val="28"/>
        </w:rPr>
      </w:pPr>
    </w:p>
    <w:p w14:paraId="46AFC3BF" w14:textId="5B6BCA55" w:rsidR="00A64C4A" w:rsidRPr="00A64C4A" w:rsidRDefault="00A64C4A" w:rsidP="00A64C4A">
      <w:pPr>
        <w:jc w:val="center"/>
        <w:rPr>
          <w:b/>
          <w:bCs/>
          <w:sz w:val="28"/>
          <w:szCs w:val="28"/>
        </w:rPr>
      </w:pPr>
      <w:r w:rsidRPr="00A64C4A">
        <w:rPr>
          <w:b/>
          <w:bCs/>
          <w:sz w:val="28"/>
          <w:szCs w:val="28"/>
        </w:rPr>
        <w:t>Prepared by Huma Nazneen</w:t>
      </w:r>
    </w:p>
    <w:p w14:paraId="6224A674" w14:textId="31A322CF" w:rsidR="00A64C4A" w:rsidRDefault="00A64C4A" w:rsidP="00A64C4A">
      <w:pPr>
        <w:jc w:val="center"/>
        <w:rPr>
          <w:b/>
          <w:bCs/>
          <w:sz w:val="28"/>
          <w:szCs w:val="28"/>
        </w:rPr>
      </w:pPr>
      <w:r w:rsidRPr="00A64C4A">
        <w:rPr>
          <w:b/>
          <w:bCs/>
          <w:sz w:val="28"/>
          <w:szCs w:val="28"/>
        </w:rPr>
        <w:t>Date: 01/02/2024</w:t>
      </w:r>
    </w:p>
    <w:sdt>
      <w:sdtPr>
        <w:rPr>
          <w:rFonts w:asciiTheme="minorHAnsi" w:eastAsiaTheme="minorHAnsi" w:hAnsiTheme="minorHAnsi" w:cstheme="minorBidi"/>
          <w:color w:val="auto"/>
          <w:kern w:val="2"/>
          <w:sz w:val="22"/>
          <w:szCs w:val="22"/>
          <w:lang w:val="en-GB"/>
          <w14:ligatures w14:val="standardContextual"/>
        </w:rPr>
        <w:id w:val="1269660410"/>
        <w:docPartObj>
          <w:docPartGallery w:val="Table of Contents"/>
          <w:docPartUnique/>
        </w:docPartObj>
      </w:sdtPr>
      <w:sdtEndPr>
        <w:rPr>
          <w:b/>
          <w:bCs/>
          <w:noProof/>
        </w:rPr>
      </w:sdtEndPr>
      <w:sdtContent>
        <w:p w14:paraId="66C0C02A" w14:textId="6E935954" w:rsidR="00A64C4A" w:rsidRDefault="00A64C4A">
          <w:pPr>
            <w:pStyle w:val="TOCHeading"/>
          </w:pPr>
          <w:r>
            <w:t>Table of Contents</w:t>
          </w:r>
        </w:p>
        <w:p w14:paraId="7C605427" w14:textId="0DC04D01" w:rsidR="00A34AA7" w:rsidRDefault="00A64C4A">
          <w:pPr>
            <w:pStyle w:val="TOC1"/>
            <w:tabs>
              <w:tab w:val="left" w:pos="440"/>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57705512" w:history="1">
            <w:r w:rsidR="00A34AA7" w:rsidRPr="00D11450">
              <w:rPr>
                <w:rStyle w:val="Hyperlink"/>
                <w:rFonts w:ascii="Times New Roman" w:hAnsi="Times New Roman" w:cs="Times New Roman"/>
                <w:b/>
                <w:noProof/>
              </w:rPr>
              <w:t>1</w:t>
            </w:r>
            <w:r w:rsidR="00A34AA7">
              <w:rPr>
                <w:rFonts w:eastAsiaTheme="minorEastAsia"/>
                <w:noProof/>
                <w:lang w:val="en-IN" w:eastAsia="en-IN"/>
              </w:rPr>
              <w:tab/>
            </w:r>
            <w:r w:rsidR="00A34AA7" w:rsidRPr="00D11450">
              <w:rPr>
                <w:rStyle w:val="Hyperlink"/>
                <w:noProof/>
              </w:rPr>
              <w:t>Introduction</w:t>
            </w:r>
            <w:r w:rsidR="00A34AA7">
              <w:rPr>
                <w:noProof/>
                <w:webHidden/>
              </w:rPr>
              <w:tab/>
            </w:r>
            <w:r w:rsidR="00A34AA7">
              <w:rPr>
                <w:noProof/>
                <w:webHidden/>
              </w:rPr>
              <w:fldChar w:fldCharType="begin"/>
            </w:r>
            <w:r w:rsidR="00A34AA7">
              <w:rPr>
                <w:noProof/>
                <w:webHidden/>
              </w:rPr>
              <w:instrText xml:space="preserve"> PAGEREF _Toc157705512 \h </w:instrText>
            </w:r>
            <w:r w:rsidR="00A34AA7">
              <w:rPr>
                <w:noProof/>
                <w:webHidden/>
              </w:rPr>
            </w:r>
            <w:r w:rsidR="00A34AA7">
              <w:rPr>
                <w:noProof/>
                <w:webHidden/>
              </w:rPr>
              <w:fldChar w:fldCharType="separate"/>
            </w:r>
            <w:r w:rsidR="00A34AA7">
              <w:rPr>
                <w:noProof/>
                <w:webHidden/>
              </w:rPr>
              <w:t>3</w:t>
            </w:r>
            <w:r w:rsidR="00A34AA7">
              <w:rPr>
                <w:noProof/>
                <w:webHidden/>
              </w:rPr>
              <w:fldChar w:fldCharType="end"/>
            </w:r>
          </w:hyperlink>
        </w:p>
        <w:p w14:paraId="1689672A" w14:textId="00E02671" w:rsidR="00A34AA7" w:rsidRDefault="00000000">
          <w:pPr>
            <w:pStyle w:val="TOC1"/>
            <w:tabs>
              <w:tab w:val="left" w:pos="440"/>
              <w:tab w:val="right" w:leader="dot" w:pos="9016"/>
            </w:tabs>
            <w:rPr>
              <w:rFonts w:eastAsiaTheme="minorEastAsia"/>
              <w:noProof/>
              <w:lang w:val="en-IN" w:eastAsia="en-IN"/>
            </w:rPr>
          </w:pPr>
          <w:hyperlink w:anchor="_Toc157705513" w:history="1">
            <w:r w:rsidR="00A34AA7" w:rsidRPr="00D11450">
              <w:rPr>
                <w:rStyle w:val="Hyperlink"/>
                <w:rFonts w:ascii="Times New Roman" w:hAnsi="Times New Roman" w:cs="Times New Roman"/>
                <w:b/>
                <w:noProof/>
              </w:rPr>
              <w:t>2</w:t>
            </w:r>
            <w:r w:rsidR="00A34AA7">
              <w:rPr>
                <w:rFonts w:eastAsiaTheme="minorEastAsia"/>
                <w:noProof/>
                <w:lang w:val="en-IN" w:eastAsia="en-IN"/>
              </w:rPr>
              <w:tab/>
            </w:r>
            <w:r w:rsidR="00A34AA7" w:rsidRPr="00D11450">
              <w:rPr>
                <w:rStyle w:val="Hyperlink"/>
                <w:noProof/>
              </w:rPr>
              <w:t>Migration Process</w:t>
            </w:r>
            <w:r w:rsidR="00A34AA7">
              <w:rPr>
                <w:noProof/>
                <w:webHidden/>
              </w:rPr>
              <w:tab/>
            </w:r>
            <w:r w:rsidR="00A34AA7">
              <w:rPr>
                <w:noProof/>
                <w:webHidden/>
              </w:rPr>
              <w:fldChar w:fldCharType="begin"/>
            </w:r>
            <w:r w:rsidR="00A34AA7">
              <w:rPr>
                <w:noProof/>
                <w:webHidden/>
              </w:rPr>
              <w:instrText xml:space="preserve"> PAGEREF _Toc157705513 \h </w:instrText>
            </w:r>
            <w:r w:rsidR="00A34AA7">
              <w:rPr>
                <w:noProof/>
                <w:webHidden/>
              </w:rPr>
            </w:r>
            <w:r w:rsidR="00A34AA7">
              <w:rPr>
                <w:noProof/>
                <w:webHidden/>
              </w:rPr>
              <w:fldChar w:fldCharType="separate"/>
            </w:r>
            <w:r w:rsidR="00A34AA7">
              <w:rPr>
                <w:noProof/>
                <w:webHidden/>
              </w:rPr>
              <w:t>3</w:t>
            </w:r>
            <w:r w:rsidR="00A34AA7">
              <w:rPr>
                <w:noProof/>
                <w:webHidden/>
              </w:rPr>
              <w:fldChar w:fldCharType="end"/>
            </w:r>
          </w:hyperlink>
        </w:p>
        <w:p w14:paraId="304767A3" w14:textId="43725B12" w:rsidR="00A34AA7" w:rsidRDefault="00000000">
          <w:pPr>
            <w:pStyle w:val="TOC2"/>
            <w:tabs>
              <w:tab w:val="left" w:pos="880"/>
              <w:tab w:val="right" w:leader="dot" w:pos="9016"/>
            </w:tabs>
            <w:rPr>
              <w:rFonts w:eastAsiaTheme="minorEastAsia"/>
              <w:noProof/>
              <w:lang w:val="en-IN" w:eastAsia="en-IN"/>
            </w:rPr>
          </w:pPr>
          <w:hyperlink w:anchor="_Toc157705514" w:history="1">
            <w:r w:rsidR="00A34AA7" w:rsidRPr="00D11450">
              <w:rPr>
                <w:rStyle w:val="Hyperlink"/>
                <w:rFonts w:ascii="Times New Roman" w:hAnsi="Times New Roman" w:cs="Times New Roman"/>
                <w:b/>
                <w:noProof/>
              </w:rPr>
              <w:t>2.1</w:t>
            </w:r>
            <w:r w:rsidR="00A34AA7">
              <w:rPr>
                <w:rFonts w:eastAsiaTheme="minorEastAsia"/>
                <w:noProof/>
                <w:lang w:val="en-IN" w:eastAsia="en-IN"/>
              </w:rPr>
              <w:tab/>
            </w:r>
            <w:r w:rsidR="00A34AA7" w:rsidRPr="00D11450">
              <w:rPr>
                <w:rStyle w:val="Hyperlink"/>
                <w:noProof/>
              </w:rPr>
              <w:t>Existing Infrastructure on premise</w:t>
            </w:r>
            <w:r w:rsidR="00A34AA7">
              <w:rPr>
                <w:noProof/>
                <w:webHidden/>
              </w:rPr>
              <w:tab/>
            </w:r>
            <w:r w:rsidR="00A34AA7">
              <w:rPr>
                <w:noProof/>
                <w:webHidden/>
              </w:rPr>
              <w:fldChar w:fldCharType="begin"/>
            </w:r>
            <w:r w:rsidR="00A34AA7">
              <w:rPr>
                <w:noProof/>
                <w:webHidden/>
              </w:rPr>
              <w:instrText xml:space="preserve"> PAGEREF _Toc157705514 \h </w:instrText>
            </w:r>
            <w:r w:rsidR="00A34AA7">
              <w:rPr>
                <w:noProof/>
                <w:webHidden/>
              </w:rPr>
            </w:r>
            <w:r w:rsidR="00A34AA7">
              <w:rPr>
                <w:noProof/>
                <w:webHidden/>
              </w:rPr>
              <w:fldChar w:fldCharType="separate"/>
            </w:r>
            <w:r w:rsidR="00A34AA7">
              <w:rPr>
                <w:noProof/>
                <w:webHidden/>
              </w:rPr>
              <w:t>3</w:t>
            </w:r>
            <w:r w:rsidR="00A34AA7">
              <w:rPr>
                <w:noProof/>
                <w:webHidden/>
              </w:rPr>
              <w:fldChar w:fldCharType="end"/>
            </w:r>
          </w:hyperlink>
        </w:p>
        <w:p w14:paraId="3E5FA697" w14:textId="2D0D312D" w:rsidR="00A34AA7" w:rsidRDefault="00000000">
          <w:pPr>
            <w:pStyle w:val="TOC2"/>
            <w:tabs>
              <w:tab w:val="left" w:pos="880"/>
              <w:tab w:val="right" w:leader="dot" w:pos="9016"/>
            </w:tabs>
            <w:rPr>
              <w:rFonts w:eastAsiaTheme="minorEastAsia"/>
              <w:noProof/>
              <w:lang w:val="en-IN" w:eastAsia="en-IN"/>
            </w:rPr>
          </w:pPr>
          <w:hyperlink w:anchor="_Toc157705515" w:history="1">
            <w:r w:rsidR="00A34AA7" w:rsidRPr="00D11450">
              <w:rPr>
                <w:rStyle w:val="Hyperlink"/>
                <w:rFonts w:ascii="Times New Roman" w:hAnsi="Times New Roman" w:cs="Times New Roman"/>
                <w:b/>
                <w:noProof/>
              </w:rPr>
              <w:t>2.2</w:t>
            </w:r>
            <w:r w:rsidR="00A34AA7">
              <w:rPr>
                <w:rFonts w:eastAsiaTheme="minorEastAsia"/>
                <w:noProof/>
                <w:lang w:val="en-IN" w:eastAsia="en-IN"/>
              </w:rPr>
              <w:tab/>
            </w:r>
            <w:r w:rsidR="00A34AA7" w:rsidRPr="00D11450">
              <w:rPr>
                <w:rStyle w:val="Hyperlink"/>
                <w:noProof/>
              </w:rPr>
              <w:t>Cloud Infrastructure</w:t>
            </w:r>
            <w:r w:rsidR="00A34AA7">
              <w:rPr>
                <w:noProof/>
                <w:webHidden/>
              </w:rPr>
              <w:tab/>
            </w:r>
            <w:r w:rsidR="00A34AA7">
              <w:rPr>
                <w:noProof/>
                <w:webHidden/>
              </w:rPr>
              <w:fldChar w:fldCharType="begin"/>
            </w:r>
            <w:r w:rsidR="00A34AA7">
              <w:rPr>
                <w:noProof/>
                <w:webHidden/>
              </w:rPr>
              <w:instrText xml:space="preserve"> PAGEREF _Toc157705515 \h </w:instrText>
            </w:r>
            <w:r w:rsidR="00A34AA7">
              <w:rPr>
                <w:noProof/>
                <w:webHidden/>
              </w:rPr>
            </w:r>
            <w:r w:rsidR="00A34AA7">
              <w:rPr>
                <w:noProof/>
                <w:webHidden/>
              </w:rPr>
              <w:fldChar w:fldCharType="separate"/>
            </w:r>
            <w:r w:rsidR="00A34AA7">
              <w:rPr>
                <w:noProof/>
                <w:webHidden/>
              </w:rPr>
              <w:t>3</w:t>
            </w:r>
            <w:r w:rsidR="00A34AA7">
              <w:rPr>
                <w:noProof/>
                <w:webHidden/>
              </w:rPr>
              <w:fldChar w:fldCharType="end"/>
            </w:r>
          </w:hyperlink>
        </w:p>
        <w:p w14:paraId="7686C88B" w14:textId="76AB7B36" w:rsidR="00A34AA7" w:rsidRDefault="00000000">
          <w:pPr>
            <w:pStyle w:val="TOC2"/>
            <w:tabs>
              <w:tab w:val="left" w:pos="880"/>
              <w:tab w:val="right" w:leader="dot" w:pos="9016"/>
            </w:tabs>
            <w:rPr>
              <w:rFonts w:eastAsiaTheme="minorEastAsia"/>
              <w:noProof/>
              <w:lang w:val="en-IN" w:eastAsia="en-IN"/>
            </w:rPr>
          </w:pPr>
          <w:hyperlink w:anchor="_Toc157705516" w:history="1">
            <w:r w:rsidR="00A34AA7" w:rsidRPr="00D11450">
              <w:rPr>
                <w:rStyle w:val="Hyperlink"/>
                <w:rFonts w:ascii="Times New Roman" w:hAnsi="Times New Roman" w:cs="Times New Roman"/>
                <w:b/>
                <w:noProof/>
              </w:rPr>
              <w:t>2.3</w:t>
            </w:r>
            <w:r w:rsidR="00A34AA7">
              <w:rPr>
                <w:rFonts w:eastAsiaTheme="minorEastAsia"/>
                <w:noProof/>
                <w:lang w:val="en-IN" w:eastAsia="en-IN"/>
              </w:rPr>
              <w:tab/>
            </w:r>
            <w:r w:rsidR="00A34AA7" w:rsidRPr="00D11450">
              <w:rPr>
                <w:rStyle w:val="Hyperlink"/>
                <w:noProof/>
              </w:rPr>
              <w:t>Migration steps</w:t>
            </w:r>
            <w:r w:rsidR="00A34AA7">
              <w:rPr>
                <w:noProof/>
                <w:webHidden/>
              </w:rPr>
              <w:tab/>
            </w:r>
            <w:r w:rsidR="00A34AA7">
              <w:rPr>
                <w:noProof/>
                <w:webHidden/>
              </w:rPr>
              <w:fldChar w:fldCharType="begin"/>
            </w:r>
            <w:r w:rsidR="00A34AA7">
              <w:rPr>
                <w:noProof/>
                <w:webHidden/>
              </w:rPr>
              <w:instrText xml:space="preserve"> PAGEREF _Toc157705516 \h </w:instrText>
            </w:r>
            <w:r w:rsidR="00A34AA7">
              <w:rPr>
                <w:noProof/>
                <w:webHidden/>
              </w:rPr>
            </w:r>
            <w:r w:rsidR="00A34AA7">
              <w:rPr>
                <w:noProof/>
                <w:webHidden/>
              </w:rPr>
              <w:fldChar w:fldCharType="separate"/>
            </w:r>
            <w:r w:rsidR="00A34AA7">
              <w:rPr>
                <w:noProof/>
                <w:webHidden/>
              </w:rPr>
              <w:t>4</w:t>
            </w:r>
            <w:r w:rsidR="00A34AA7">
              <w:rPr>
                <w:noProof/>
                <w:webHidden/>
              </w:rPr>
              <w:fldChar w:fldCharType="end"/>
            </w:r>
          </w:hyperlink>
        </w:p>
        <w:p w14:paraId="2BC86699" w14:textId="3A0C56BC" w:rsidR="00A34AA7" w:rsidRDefault="00000000">
          <w:pPr>
            <w:pStyle w:val="TOC1"/>
            <w:tabs>
              <w:tab w:val="left" w:pos="440"/>
              <w:tab w:val="right" w:leader="dot" w:pos="9016"/>
            </w:tabs>
            <w:rPr>
              <w:rFonts w:eastAsiaTheme="minorEastAsia"/>
              <w:noProof/>
              <w:lang w:val="en-IN" w:eastAsia="en-IN"/>
            </w:rPr>
          </w:pPr>
          <w:hyperlink w:anchor="_Toc157705517" w:history="1">
            <w:r w:rsidR="00A34AA7" w:rsidRPr="00D11450">
              <w:rPr>
                <w:rStyle w:val="Hyperlink"/>
                <w:rFonts w:ascii="Times New Roman" w:hAnsi="Times New Roman" w:cs="Times New Roman"/>
                <w:b/>
                <w:noProof/>
              </w:rPr>
              <w:t>3</w:t>
            </w:r>
            <w:r w:rsidR="00A34AA7">
              <w:rPr>
                <w:rFonts w:eastAsiaTheme="minorEastAsia"/>
                <w:noProof/>
                <w:lang w:val="en-IN" w:eastAsia="en-IN"/>
              </w:rPr>
              <w:tab/>
            </w:r>
            <w:r w:rsidR="00A34AA7" w:rsidRPr="00D11450">
              <w:rPr>
                <w:rStyle w:val="Hyperlink"/>
                <w:noProof/>
              </w:rPr>
              <w:t>Pricing</w:t>
            </w:r>
            <w:r w:rsidR="00A34AA7">
              <w:rPr>
                <w:noProof/>
                <w:webHidden/>
              </w:rPr>
              <w:tab/>
            </w:r>
            <w:r w:rsidR="00A34AA7">
              <w:rPr>
                <w:noProof/>
                <w:webHidden/>
              </w:rPr>
              <w:fldChar w:fldCharType="begin"/>
            </w:r>
            <w:r w:rsidR="00A34AA7">
              <w:rPr>
                <w:noProof/>
                <w:webHidden/>
              </w:rPr>
              <w:instrText xml:space="preserve"> PAGEREF _Toc157705517 \h </w:instrText>
            </w:r>
            <w:r w:rsidR="00A34AA7">
              <w:rPr>
                <w:noProof/>
                <w:webHidden/>
              </w:rPr>
            </w:r>
            <w:r w:rsidR="00A34AA7">
              <w:rPr>
                <w:noProof/>
                <w:webHidden/>
              </w:rPr>
              <w:fldChar w:fldCharType="separate"/>
            </w:r>
            <w:r w:rsidR="00A34AA7">
              <w:rPr>
                <w:noProof/>
                <w:webHidden/>
              </w:rPr>
              <w:t>5</w:t>
            </w:r>
            <w:r w:rsidR="00A34AA7">
              <w:rPr>
                <w:noProof/>
                <w:webHidden/>
              </w:rPr>
              <w:fldChar w:fldCharType="end"/>
            </w:r>
          </w:hyperlink>
        </w:p>
        <w:p w14:paraId="4214B6DA" w14:textId="49D9C080" w:rsidR="00A34AA7" w:rsidRDefault="00000000">
          <w:pPr>
            <w:pStyle w:val="TOC1"/>
            <w:tabs>
              <w:tab w:val="left" w:pos="440"/>
              <w:tab w:val="right" w:leader="dot" w:pos="9016"/>
            </w:tabs>
            <w:rPr>
              <w:rFonts w:eastAsiaTheme="minorEastAsia"/>
              <w:noProof/>
              <w:lang w:val="en-IN" w:eastAsia="en-IN"/>
            </w:rPr>
          </w:pPr>
          <w:hyperlink w:anchor="_Toc157705518" w:history="1">
            <w:r w:rsidR="00A34AA7" w:rsidRPr="00D11450">
              <w:rPr>
                <w:rStyle w:val="Hyperlink"/>
                <w:rFonts w:ascii="Times New Roman" w:hAnsi="Times New Roman" w:cs="Times New Roman"/>
                <w:b/>
                <w:noProof/>
              </w:rPr>
              <w:t>4</w:t>
            </w:r>
            <w:r w:rsidR="00A34AA7">
              <w:rPr>
                <w:rFonts w:eastAsiaTheme="minorEastAsia"/>
                <w:noProof/>
                <w:lang w:val="en-IN" w:eastAsia="en-IN"/>
              </w:rPr>
              <w:tab/>
            </w:r>
            <w:r w:rsidR="00A34AA7" w:rsidRPr="00D11450">
              <w:rPr>
                <w:rStyle w:val="Hyperlink"/>
                <w:noProof/>
              </w:rPr>
              <w:t>Conclusion</w:t>
            </w:r>
            <w:r w:rsidR="00A34AA7">
              <w:rPr>
                <w:noProof/>
                <w:webHidden/>
              </w:rPr>
              <w:tab/>
            </w:r>
            <w:r w:rsidR="00A34AA7">
              <w:rPr>
                <w:noProof/>
                <w:webHidden/>
              </w:rPr>
              <w:fldChar w:fldCharType="begin"/>
            </w:r>
            <w:r w:rsidR="00A34AA7">
              <w:rPr>
                <w:noProof/>
                <w:webHidden/>
              </w:rPr>
              <w:instrText xml:space="preserve"> PAGEREF _Toc157705518 \h </w:instrText>
            </w:r>
            <w:r w:rsidR="00A34AA7">
              <w:rPr>
                <w:noProof/>
                <w:webHidden/>
              </w:rPr>
            </w:r>
            <w:r w:rsidR="00A34AA7">
              <w:rPr>
                <w:noProof/>
                <w:webHidden/>
              </w:rPr>
              <w:fldChar w:fldCharType="separate"/>
            </w:r>
            <w:r w:rsidR="00A34AA7">
              <w:rPr>
                <w:noProof/>
                <w:webHidden/>
              </w:rPr>
              <w:t>6</w:t>
            </w:r>
            <w:r w:rsidR="00A34AA7">
              <w:rPr>
                <w:noProof/>
                <w:webHidden/>
              </w:rPr>
              <w:fldChar w:fldCharType="end"/>
            </w:r>
          </w:hyperlink>
        </w:p>
        <w:p w14:paraId="0B990445" w14:textId="2FB796AC" w:rsidR="00A64C4A" w:rsidRDefault="00A64C4A">
          <w:r>
            <w:rPr>
              <w:b/>
              <w:bCs/>
              <w:noProof/>
            </w:rPr>
            <w:fldChar w:fldCharType="end"/>
          </w:r>
        </w:p>
      </w:sdtContent>
    </w:sdt>
    <w:p w14:paraId="5A7B22C9" w14:textId="267B6DCC" w:rsidR="00A64C4A" w:rsidRDefault="00A64C4A">
      <w:pPr>
        <w:rPr>
          <w:b/>
          <w:bCs/>
          <w:sz w:val="28"/>
          <w:szCs w:val="28"/>
        </w:rPr>
      </w:pPr>
    </w:p>
    <w:p w14:paraId="11FCFDD9" w14:textId="77777777" w:rsidR="00A64C4A" w:rsidRDefault="00A64C4A" w:rsidP="00A64C4A">
      <w:pPr>
        <w:jc w:val="center"/>
        <w:rPr>
          <w:b/>
          <w:bCs/>
          <w:sz w:val="28"/>
          <w:szCs w:val="28"/>
        </w:rPr>
      </w:pPr>
    </w:p>
    <w:p w14:paraId="34D2101B" w14:textId="427EF21E" w:rsidR="00A64C4A" w:rsidRDefault="00A64C4A" w:rsidP="00A64C4A">
      <w:pPr>
        <w:pStyle w:val="Heading1"/>
      </w:pPr>
      <w:r>
        <w:rPr>
          <w:sz w:val="28"/>
          <w:szCs w:val="28"/>
        </w:rPr>
        <w:br w:type="page"/>
      </w:r>
      <w:bookmarkStart w:id="0" w:name="_Toc157705512"/>
      <w:r w:rsidRPr="00A64C4A">
        <w:lastRenderedPageBreak/>
        <w:t>Introduction</w:t>
      </w:r>
      <w:bookmarkEnd w:id="0"/>
    </w:p>
    <w:p w14:paraId="723E640A" w14:textId="0F92B6A9" w:rsidR="00EA6AB7" w:rsidRPr="00EA6AB7" w:rsidRDefault="00EA6AB7" w:rsidP="00EA6AB7">
      <w:r>
        <w:t xml:space="preserve">In response to </w:t>
      </w:r>
      <w:proofErr w:type="spellStart"/>
      <w:r>
        <w:t>FishTank</w:t>
      </w:r>
      <w:proofErr w:type="spellEnd"/>
      <w:r>
        <w:t xml:space="preserve"> </w:t>
      </w:r>
      <w:proofErr w:type="spellStart"/>
      <w:r>
        <w:t>Ltd's</w:t>
      </w:r>
      <w:proofErr w:type="spellEnd"/>
      <w:r>
        <w:t xml:space="preserve"> strategic decision to migrate their pivotal application, PETRA, to Amazon Web Services (AWS), this document presents a thorough plan encircling a detailed migration process, schematic diagram, pricing breakdown, and network design. PETRA, a highly tailored Customer Relationship Manager (CRM) application built on the Microsoft Dynamics CRM platform, plays a critical role in supporting over 5,000 users across the UK. The migration of PETRA to AWS represents a transformative step for </w:t>
      </w:r>
      <w:proofErr w:type="spellStart"/>
      <w:r>
        <w:t>FishTank</w:t>
      </w:r>
      <w:proofErr w:type="spellEnd"/>
      <w:r>
        <w:t xml:space="preserve"> Ltd, leveraging cloud infrastructure to enhance scalability, performance, and security. Our proposal aims to provide a complete understanding of the migration journey, ensuring a seamless transition while maximizing the benefits of AWS's robust ecosystem.</w:t>
      </w:r>
    </w:p>
    <w:p w14:paraId="438FFA16" w14:textId="63D0F731" w:rsidR="00F86AAE" w:rsidRDefault="00A64C4A" w:rsidP="00F86AAE">
      <w:pPr>
        <w:pStyle w:val="Heading1"/>
      </w:pPr>
      <w:bookmarkStart w:id="1" w:name="_Toc157705513"/>
      <w:r>
        <w:t>Migration Process</w:t>
      </w:r>
      <w:bookmarkEnd w:id="1"/>
    </w:p>
    <w:p w14:paraId="7AB70172" w14:textId="4D162C48" w:rsidR="00F86AAE" w:rsidRPr="00F86AAE" w:rsidRDefault="00F86AAE" w:rsidP="00F86AAE">
      <w:r w:rsidRPr="00276E3E">
        <w:t>The initiation of the application migration involves a comprehensive evaluation of the PETRA infrastructure and its dependencies to gain a complete understanding of requirements and limitations</w:t>
      </w:r>
      <w:r>
        <w:t xml:space="preserve">. </w:t>
      </w:r>
    </w:p>
    <w:p w14:paraId="1F4D305F" w14:textId="37ACD00D" w:rsidR="00F86AAE" w:rsidRDefault="00F86AAE" w:rsidP="00F86AAE">
      <w:pPr>
        <w:pStyle w:val="Heading2"/>
      </w:pPr>
      <w:bookmarkStart w:id="2" w:name="_Toc157705514"/>
      <w:r>
        <w:t>Existing Infrastructure on premise</w:t>
      </w:r>
      <w:bookmarkEnd w:id="2"/>
    </w:p>
    <w:p w14:paraId="2F38BBCA" w14:textId="6B49B5CB" w:rsidR="00F86AAE" w:rsidRPr="00F86AAE" w:rsidRDefault="00F86AAE" w:rsidP="00F86AAE">
      <w:r>
        <w:t>Figure 1 represent the existing infrastructure of the PETRA application which consists of</w:t>
      </w:r>
      <w:r w:rsidRPr="00F86AAE">
        <w:t xml:space="preserve"> three-layer application comprising Web, Application, and Database layers. Currently running on Microsoft Windows Server 2008 and Microsoft SQL Server 2012 </w:t>
      </w:r>
      <w:r>
        <w:t xml:space="preserve">, </w:t>
      </w:r>
      <w:r w:rsidRPr="00F86AAE">
        <w:t>the application's dependencies include DNS and Active Directory.</w:t>
      </w:r>
    </w:p>
    <w:p w14:paraId="73AF05C5" w14:textId="6C189F6B" w:rsidR="00276E3E" w:rsidRDefault="00ED683A" w:rsidP="00A64C4A">
      <w:r>
        <w:rPr>
          <w:noProof/>
        </w:rPr>
        <w:drawing>
          <wp:inline distT="0" distB="0" distL="0" distR="0" wp14:anchorId="07A8AABC" wp14:editId="778C374E">
            <wp:extent cx="5731510" cy="2530475"/>
            <wp:effectExtent l="0" t="0" r="2540" b="3175"/>
            <wp:docPr id="1694902929"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02929" name="Picture 1" descr="A diagram of a computer ser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30475"/>
                    </a:xfrm>
                    <a:prstGeom prst="rect">
                      <a:avLst/>
                    </a:prstGeom>
                  </pic:spPr>
                </pic:pic>
              </a:graphicData>
            </a:graphic>
          </wp:inline>
        </w:drawing>
      </w:r>
    </w:p>
    <w:p w14:paraId="0758B98C" w14:textId="1F8773C3" w:rsidR="00F875FC" w:rsidRDefault="00F875FC" w:rsidP="00F875FC">
      <w:pPr>
        <w:jc w:val="center"/>
      </w:pPr>
      <w:r>
        <w:t xml:space="preserve">Figure 1: </w:t>
      </w:r>
      <w:r w:rsidR="00F86AAE">
        <w:t>On-Premises</w:t>
      </w:r>
      <w:r>
        <w:t xml:space="preserve"> Data Centre Architecture</w:t>
      </w:r>
    </w:p>
    <w:p w14:paraId="6219F639" w14:textId="77777777" w:rsidR="00F86AAE" w:rsidRDefault="00F86AAE" w:rsidP="00F86AAE"/>
    <w:p w14:paraId="3DA232AF" w14:textId="26F03408" w:rsidR="00F86AAE" w:rsidRDefault="00F86AAE" w:rsidP="00F86AAE">
      <w:pPr>
        <w:pStyle w:val="Heading2"/>
      </w:pPr>
      <w:bookmarkStart w:id="3" w:name="_Toc157705515"/>
      <w:r>
        <w:t>Cloud Infrastructure</w:t>
      </w:r>
      <w:bookmarkEnd w:id="3"/>
    </w:p>
    <w:p w14:paraId="1A4F5ECC" w14:textId="350B6FD3" w:rsidR="00A64C4A" w:rsidRDefault="00F86AAE" w:rsidP="00F86AAE">
      <w:r w:rsidRPr="00276E3E">
        <w:t xml:space="preserve">The proposed server migration sequence, illustrated in Figure </w:t>
      </w:r>
      <w:r>
        <w:t>2</w:t>
      </w:r>
      <w:r w:rsidRPr="00276E3E">
        <w:t xml:space="preserve">, has been determined by considering the interdependencies among the servers. This sequential approach is designed to facilitate a gradual migration process, minimizing potential disruptions, and allowing for thorough testing at each stage. </w:t>
      </w:r>
      <w:r>
        <w:t xml:space="preserve"> T</w:t>
      </w:r>
      <w:r w:rsidRPr="00F86AAE">
        <w:t xml:space="preserve">o get PETRA ready for the move to Amazon Web Services (AWS), we'll start by making a space for it in AWS. This involves creating new accounts and setting up important things like Virtual Private Cloud (VPC), Subnets, and Security Groups to keep everything secure. Then, we'll make room for PETRA by setting up virtual servers called EC2 instances based on the PETRA asset list. And to handle the migration of PETRA's database, we'll use Amazon RDS, a service that makes managing databases easier. </w:t>
      </w:r>
      <w:r w:rsidRPr="00F86AAE">
        <w:lastRenderedPageBreak/>
        <w:t>This step ensures a smooth transition of PETRA to AWS, making it all work seamlessly in the new cloud environment.</w:t>
      </w:r>
    </w:p>
    <w:p w14:paraId="71F4709A" w14:textId="44202287" w:rsidR="00A64C4A" w:rsidRDefault="00A77FBF" w:rsidP="00A64C4A">
      <w:r>
        <w:rPr>
          <w:noProof/>
        </w:rPr>
        <w:drawing>
          <wp:inline distT="0" distB="0" distL="0" distR="0" wp14:anchorId="1FD96837" wp14:editId="1A8AE5CB">
            <wp:extent cx="5731510" cy="2820670"/>
            <wp:effectExtent l="0" t="0" r="2540" b="0"/>
            <wp:docPr id="6369005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00551"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14:paraId="30933220" w14:textId="0996C18F" w:rsidR="00F86AAE" w:rsidRDefault="00F86AAE" w:rsidP="00F86AAE">
      <w:pPr>
        <w:jc w:val="center"/>
      </w:pPr>
      <w:r>
        <w:t xml:space="preserve">Figure 2: Proposed Architecture on </w:t>
      </w:r>
      <w:r w:rsidR="00CC6CDA">
        <w:t>AWS</w:t>
      </w:r>
    </w:p>
    <w:p w14:paraId="5FE2F2FE" w14:textId="7324158B" w:rsidR="00162219" w:rsidRDefault="00162219" w:rsidP="00162219">
      <w:pPr>
        <w:pStyle w:val="Heading2"/>
      </w:pPr>
      <w:bookmarkStart w:id="4" w:name="_Toc157705516"/>
      <w:r>
        <w:t>Migration steps</w:t>
      </w:r>
      <w:bookmarkEnd w:id="4"/>
    </w:p>
    <w:p w14:paraId="2C00B276" w14:textId="65109D47" w:rsidR="00682821" w:rsidRDefault="00682821" w:rsidP="00682821">
      <w:r>
        <w:t>The migration process involves the following steps in a sequential manner:</w:t>
      </w:r>
    </w:p>
    <w:p w14:paraId="3BCF142E" w14:textId="0CAF8ED6" w:rsidR="00682821" w:rsidRDefault="00682821" w:rsidP="00682821">
      <w:r>
        <w:t>1. Setting up AWS Account: Creation of a root user and IAM user with associated roles and policies.</w:t>
      </w:r>
    </w:p>
    <w:p w14:paraId="7F845089" w14:textId="146D7019" w:rsidR="00682821" w:rsidRDefault="00682821" w:rsidP="00682821">
      <w:r>
        <w:t>2. Creating AWS Active Directory: Utilizing AWS Directory Service to establish Active Directory in the AWS environment.</w:t>
      </w:r>
    </w:p>
    <w:p w14:paraId="265401A0" w14:textId="6FA228AC" w:rsidR="00682821" w:rsidRDefault="00682821" w:rsidP="00682821">
      <w:r>
        <w:t>3. Replicating Network Infrastructure: Leveraging AWS Managed Firewall and Amazon VPC to mirror on-premises network setup. Includes the creation of internet gateways, NACL, NAT gateway, and three subnets for Web-server layer, application layer, and Database layer.</w:t>
      </w:r>
    </w:p>
    <w:p w14:paraId="4CC4978E" w14:textId="425D5E37" w:rsidR="00682821" w:rsidRDefault="00682821" w:rsidP="00682821">
      <w:r>
        <w:t>4. Auto-Scaling Group for Servers: Creation of auto-scaling groups for both web servers and application servers.</w:t>
      </w:r>
    </w:p>
    <w:p w14:paraId="3382C699" w14:textId="6F09D821" w:rsidR="00682821" w:rsidRDefault="00682821" w:rsidP="00682821">
      <w:r>
        <w:t>5. Load Balancer Setup: Establishing load balancers for both the network layer and application layer.</w:t>
      </w:r>
    </w:p>
    <w:p w14:paraId="53B36950" w14:textId="074A6730" w:rsidR="00682821" w:rsidRDefault="00682821" w:rsidP="00682821">
      <w:r>
        <w:t>6. Elastic Block Service Setup: Configuring Elastic Block Service for storage and linking it to the auto-scaling group of application servers.</w:t>
      </w:r>
    </w:p>
    <w:p w14:paraId="0478B65F" w14:textId="606BE281" w:rsidR="00682821" w:rsidRDefault="00682821" w:rsidP="00682821">
      <w:r>
        <w:t>7. Deploying AWS RDS: Setting up AWS RDS for SQL Server along with its read replica in different availability zones.</w:t>
      </w:r>
    </w:p>
    <w:p w14:paraId="11A52B1A" w14:textId="0FD59649" w:rsidR="00682821" w:rsidRDefault="00682821" w:rsidP="00682821">
      <w:r>
        <w:t xml:space="preserve">8. Amazon </w:t>
      </w:r>
      <w:proofErr w:type="spellStart"/>
      <w:r>
        <w:t>WorkDocs</w:t>
      </w:r>
      <w:proofErr w:type="spellEnd"/>
      <w:r>
        <w:t xml:space="preserve"> Subnet: Creating a subnet for Amazon </w:t>
      </w:r>
      <w:proofErr w:type="spellStart"/>
      <w:r>
        <w:t>WorkDocs</w:t>
      </w:r>
      <w:proofErr w:type="spellEnd"/>
      <w:r>
        <w:t xml:space="preserve"> to support on-premises printer server functionality.</w:t>
      </w:r>
    </w:p>
    <w:p w14:paraId="70EBD405" w14:textId="422C0D9E" w:rsidR="00682821" w:rsidRDefault="00682821" w:rsidP="00682821">
      <w:r>
        <w:t>9. EC2 Instance for Hosting: Setting up EC2 instances for hosting web and application services.</w:t>
      </w:r>
    </w:p>
    <w:p w14:paraId="143E2F91" w14:textId="77777777" w:rsidR="00351265" w:rsidRDefault="00682821" w:rsidP="00351265">
      <w:r>
        <w:t>10. Data Migration: Executing data migration to transfer data from on-premises to Amazon RDS service</w:t>
      </w:r>
      <w:r w:rsidR="00FD34D2">
        <w:t xml:space="preserve"> using amazon data migration service.</w:t>
      </w:r>
    </w:p>
    <w:p w14:paraId="7A95712F" w14:textId="0BB0AF35" w:rsidR="00A64C4A" w:rsidRDefault="00A64C4A" w:rsidP="00351265">
      <w:pPr>
        <w:pStyle w:val="Heading1"/>
      </w:pPr>
      <w:bookmarkStart w:id="5" w:name="_Toc157705517"/>
      <w:r>
        <w:lastRenderedPageBreak/>
        <w:t>Pricing</w:t>
      </w:r>
      <w:bookmarkEnd w:id="5"/>
    </w:p>
    <w:p w14:paraId="522403BF" w14:textId="5464764C" w:rsidR="00A64C4A" w:rsidRDefault="00682821" w:rsidP="00A64C4A">
      <w:r>
        <w:t>This section provides</w:t>
      </w:r>
      <w:r w:rsidR="00A64C4A">
        <w:t xml:space="preserve"> a detailed breakdown of costs, including EC2 instance pricing, RDS costs, data transfer fees, and any other </w:t>
      </w:r>
      <w:r>
        <w:t>services</w:t>
      </w:r>
      <w:r w:rsidR="00A64C4A">
        <w:t xml:space="preserve"> expenses</w:t>
      </w:r>
      <w:r>
        <w:t xml:space="preserve"> including the manpower cost required for this migration</w:t>
      </w:r>
      <w:r w:rsidR="00A64C4A">
        <w:t>. Use the provided day rates for job roles.</w:t>
      </w:r>
      <w:r>
        <w:t xml:space="preserve"> The cost can be divided into two, firstly, one-time  TCO – total cost of ownership, secondly monthly operation cost.</w:t>
      </w:r>
      <w:r w:rsidR="00FD34D2">
        <w:t xml:space="preserve"> The </w:t>
      </w:r>
      <w:r w:rsidR="00840CD3">
        <w:t xml:space="preserve">roles Business Analyst, Cloud Consultant, and Solution Architect are required through out the migration process. The expected migration process will take around </w:t>
      </w:r>
      <w:r w:rsidR="00351265">
        <w:t>8</w:t>
      </w:r>
      <w:r w:rsidR="00840CD3">
        <w:t xml:space="preserve"> weeks which includes migration and testing after migration. The roles required after migration are First/Second line Cloud support, Third line Cloud support to monitor the cloud architecture, while Business Analyst and Cloud Consultant roles are required for further development and optimization. However, migration engineer</w:t>
      </w:r>
      <w:r w:rsidR="00351265">
        <w:t>s</w:t>
      </w:r>
      <w:r w:rsidR="00840CD3">
        <w:t xml:space="preserve"> </w:t>
      </w:r>
      <w:r w:rsidR="00351265">
        <w:t>are</w:t>
      </w:r>
      <w:r w:rsidR="00840CD3">
        <w:t xml:space="preserve"> required for one weeks only for migration of application and data.</w:t>
      </w:r>
    </w:p>
    <w:p w14:paraId="2D80EC09" w14:textId="77777777" w:rsidR="00FD34D2" w:rsidRDefault="00FD34D2" w:rsidP="00FD34D2">
      <w:pPr>
        <w:pStyle w:val="ListParagraph"/>
        <w:numPr>
          <w:ilvl w:val="0"/>
          <w:numId w:val="8"/>
        </w:numPr>
        <w:spacing w:after="0"/>
      </w:pPr>
      <w:r>
        <w:t>Business Analyst £400</w:t>
      </w:r>
    </w:p>
    <w:p w14:paraId="45EBD5DC" w14:textId="77777777" w:rsidR="00FD34D2" w:rsidRDefault="00FD34D2" w:rsidP="00FD34D2">
      <w:pPr>
        <w:pStyle w:val="ListParagraph"/>
        <w:numPr>
          <w:ilvl w:val="0"/>
          <w:numId w:val="8"/>
        </w:numPr>
        <w:spacing w:after="0"/>
      </w:pPr>
      <w:r>
        <w:t xml:space="preserve">Cloud Consultant £2000 </w:t>
      </w:r>
    </w:p>
    <w:p w14:paraId="0378226E" w14:textId="77777777" w:rsidR="00FD34D2" w:rsidRDefault="00FD34D2" w:rsidP="00FD34D2">
      <w:pPr>
        <w:pStyle w:val="ListParagraph"/>
        <w:numPr>
          <w:ilvl w:val="0"/>
          <w:numId w:val="8"/>
        </w:numPr>
        <w:spacing w:after="0"/>
      </w:pPr>
      <w:r>
        <w:t>Solution Architect £1000</w:t>
      </w:r>
    </w:p>
    <w:p w14:paraId="32CD90B5" w14:textId="77777777" w:rsidR="00FD34D2" w:rsidRDefault="00FD34D2" w:rsidP="00FD34D2">
      <w:pPr>
        <w:pStyle w:val="ListParagraph"/>
        <w:numPr>
          <w:ilvl w:val="0"/>
          <w:numId w:val="8"/>
        </w:numPr>
        <w:spacing w:after="0"/>
      </w:pPr>
      <w:r>
        <w:t xml:space="preserve">Server Migration Engineer £650 </w:t>
      </w:r>
    </w:p>
    <w:p w14:paraId="133532D1" w14:textId="77777777" w:rsidR="00FD34D2" w:rsidRDefault="00FD34D2" w:rsidP="00FD34D2">
      <w:pPr>
        <w:pStyle w:val="ListParagraph"/>
        <w:numPr>
          <w:ilvl w:val="0"/>
          <w:numId w:val="8"/>
        </w:numPr>
        <w:spacing w:after="0"/>
      </w:pPr>
      <w:r>
        <w:t xml:space="preserve">Database Migration Engineer £750 </w:t>
      </w:r>
    </w:p>
    <w:p w14:paraId="7AEB4534" w14:textId="77777777" w:rsidR="00FD34D2" w:rsidRDefault="00FD34D2" w:rsidP="00FD34D2">
      <w:pPr>
        <w:pStyle w:val="ListParagraph"/>
        <w:numPr>
          <w:ilvl w:val="0"/>
          <w:numId w:val="8"/>
        </w:numPr>
        <w:spacing w:after="0"/>
      </w:pPr>
      <w:r>
        <w:t xml:space="preserve">First/Second line Cloud support £250 </w:t>
      </w:r>
    </w:p>
    <w:p w14:paraId="31CEB6D0" w14:textId="2ECACE75" w:rsidR="00FD34D2" w:rsidRDefault="00FD34D2" w:rsidP="00FD34D2">
      <w:pPr>
        <w:pStyle w:val="ListParagraph"/>
        <w:numPr>
          <w:ilvl w:val="0"/>
          <w:numId w:val="8"/>
        </w:numPr>
        <w:spacing w:after="0"/>
      </w:pPr>
      <w:r>
        <w:t>Third line Cloud support £350</w:t>
      </w:r>
    </w:p>
    <w:tbl>
      <w:tblPr>
        <w:tblW w:w="7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0"/>
        <w:gridCol w:w="1275"/>
        <w:gridCol w:w="1681"/>
        <w:gridCol w:w="980"/>
      </w:tblGrid>
      <w:tr w:rsidR="00351265" w:rsidRPr="00351265" w14:paraId="6D3996E7" w14:textId="77777777" w:rsidTr="00351265">
        <w:trPr>
          <w:trHeight w:val="288"/>
          <w:jc w:val="center"/>
        </w:trPr>
        <w:tc>
          <w:tcPr>
            <w:tcW w:w="3720" w:type="dxa"/>
            <w:shd w:val="clear" w:color="auto" w:fill="auto"/>
            <w:noWrap/>
            <w:vAlign w:val="bottom"/>
            <w:hideMark/>
          </w:tcPr>
          <w:p w14:paraId="3FAC8037"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Role</w:t>
            </w:r>
          </w:p>
        </w:tc>
        <w:tc>
          <w:tcPr>
            <w:tcW w:w="1140" w:type="dxa"/>
            <w:shd w:val="clear" w:color="auto" w:fill="auto"/>
            <w:noWrap/>
            <w:vAlign w:val="bottom"/>
            <w:hideMark/>
          </w:tcPr>
          <w:p w14:paraId="57BF87A2"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Rate(£/day)</w:t>
            </w:r>
          </w:p>
        </w:tc>
        <w:tc>
          <w:tcPr>
            <w:tcW w:w="1540" w:type="dxa"/>
            <w:shd w:val="clear" w:color="auto" w:fill="auto"/>
            <w:noWrap/>
            <w:vAlign w:val="bottom"/>
            <w:hideMark/>
          </w:tcPr>
          <w:p w14:paraId="69C340E5"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duration(weeks)</w:t>
            </w:r>
          </w:p>
        </w:tc>
        <w:tc>
          <w:tcPr>
            <w:tcW w:w="980" w:type="dxa"/>
            <w:shd w:val="clear" w:color="auto" w:fill="auto"/>
            <w:noWrap/>
            <w:vAlign w:val="bottom"/>
            <w:hideMark/>
          </w:tcPr>
          <w:p w14:paraId="029D7261"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Total cost</w:t>
            </w:r>
          </w:p>
        </w:tc>
      </w:tr>
      <w:tr w:rsidR="00351265" w:rsidRPr="00351265" w14:paraId="61C6B969" w14:textId="77777777" w:rsidTr="00351265">
        <w:trPr>
          <w:trHeight w:val="288"/>
          <w:jc w:val="center"/>
        </w:trPr>
        <w:tc>
          <w:tcPr>
            <w:tcW w:w="3720" w:type="dxa"/>
            <w:shd w:val="clear" w:color="auto" w:fill="auto"/>
            <w:noWrap/>
            <w:hideMark/>
          </w:tcPr>
          <w:p w14:paraId="555F0771"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proofErr w:type="spellStart"/>
            <w:r w:rsidRPr="00351265">
              <w:rPr>
                <w:rFonts w:ascii="Calibri" w:eastAsia="Times New Roman" w:hAnsi="Calibri" w:cs="Calibri"/>
                <w:color w:val="000000"/>
                <w:kern w:val="0"/>
                <w:lang w:val="en-IN" w:eastAsia="en-IN"/>
                <w14:ligatures w14:val="none"/>
              </w:rPr>
              <w:t>BusinessAnalyst</w:t>
            </w:r>
            <w:proofErr w:type="spellEnd"/>
          </w:p>
        </w:tc>
        <w:tc>
          <w:tcPr>
            <w:tcW w:w="1140" w:type="dxa"/>
            <w:shd w:val="clear" w:color="auto" w:fill="auto"/>
            <w:noWrap/>
            <w:vAlign w:val="bottom"/>
            <w:hideMark/>
          </w:tcPr>
          <w:p w14:paraId="39AD5DA2"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400</w:t>
            </w:r>
          </w:p>
        </w:tc>
        <w:tc>
          <w:tcPr>
            <w:tcW w:w="1540" w:type="dxa"/>
            <w:shd w:val="clear" w:color="auto" w:fill="auto"/>
            <w:noWrap/>
            <w:vAlign w:val="bottom"/>
            <w:hideMark/>
          </w:tcPr>
          <w:p w14:paraId="4AEDD2B0"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8</w:t>
            </w:r>
          </w:p>
        </w:tc>
        <w:tc>
          <w:tcPr>
            <w:tcW w:w="980" w:type="dxa"/>
            <w:shd w:val="clear" w:color="auto" w:fill="auto"/>
            <w:noWrap/>
            <w:vAlign w:val="bottom"/>
            <w:hideMark/>
          </w:tcPr>
          <w:p w14:paraId="20B884AE"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16000</w:t>
            </w:r>
          </w:p>
        </w:tc>
      </w:tr>
      <w:tr w:rsidR="00351265" w:rsidRPr="00351265" w14:paraId="18459889" w14:textId="77777777" w:rsidTr="00351265">
        <w:trPr>
          <w:trHeight w:val="288"/>
          <w:jc w:val="center"/>
        </w:trPr>
        <w:tc>
          <w:tcPr>
            <w:tcW w:w="3720" w:type="dxa"/>
            <w:shd w:val="clear" w:color="auto" w:fill="auto"/>
            <w:noWrap/>
            <w:hideMark/>
          </w:tcPr>
          <w:p w14:paraId="1FC3E5CF"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proofErr w:type="spellStart"/>
            <w:r w:rsidRPr="00351265">
              <w:rPr>
                <w:rFonts w:ascii="Calibri" w:eastAsia="Times New Roman" w:hAnsi="Calibri" w:cs="Calibri"/>
                <w:color w:val="000000"/>
                <w:kern w:val="0"/>
                <w:lang w:val="en-IN" w:eastAsia="en-IN"/>
                <w14:ligatures w14:val="none"/>
              </w:rPr>
              <w:t>CloudConsultant</w:t>
            </w:r>
            <w:proofErr w:type="spellEnd"/>
          </w:p>
        </w:tc>
        <w:tc>
          <w:tcPr>
            <w:tcW w:w="1140" w:type="dxa"/>
            <w:shd w:val="clear" w:color="auto" w:fill="auto"/>
            <w:noWrap/>
            <w:vAlign w:val="bottom"/>
            <w:hideMark/>
          </w:tcPr>
          <w:p w14:paraId="395408EC"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2000</w:t>
            </w:r>
          </w:p>
        </w:tc>
        <w:tc>
          <w:tcPr>
            <w:tcW w:w="1540" w:type="dxa"/>
            <w:shd w:val="clear" w:color="auto" w:fill="auto"/>
            <w:noWrap/>
            <w:vAlign w:val="bottom"/>
            <w:hideMark/>
          </w:tcPr>
          <w:p w14:paraId="67E70D97"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8</w:t>
            </w:r>
          </w:p>
        </w:tc>
        <w:tc>
          <w:tcPr>
            <w:tcW w:w="980" w:type="dxa"/>
            <w:shd w:val="clear" w:color="auto" w:fill="auto"/>
            <w:noWrap/>
            <w:vAlign w:val="bottom"/>
            <w:hideMark/>
          </w:tcPr>
          <w:p w14:paraId="26013B1D"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80000</w:t>
            </w:r>
          </w:p>
        </w:tc>
      </w:tr>
      <w:tr w:rsidR="00351265" w:rsidRPr="00351265" w14:paraId="287203EC" w14:textId="77777777" w:rsidTr="00351265">
        <w:trPr>
          <w:trHeight w:val="288"/>
          <w:jc w:val="center"/>
        </w:trPr>
        <w:tc>
          <w:tcPr>
            <w:tcW w:w="3720" w:type="dxa"/>
            <w:shd w:val="clear" w:color="auto" w:fill="auto"/>
            <w:noWrap/>
            <w:hideMark/>
          </w:tcPr>
          <w:p w14:paraId="40F980CF"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proofErr w:type="spellStart"/>
            <w:r w:rsidRPr="00351265">
              <w:rPr>
                <w:rFonts w:ascii="Calibri" w:eastAsia="Times New Roman" w:hAnsi="Calibri" w:cs="Calibri"/>
                <w:color w:val="000000"/>
                <w:kern w:val="0"/>
                <w:lang w:val="en-IN" w:eastAsia="en-IN"/>
                <w14:ligatures w14:val="none"/>
              </w:rPr>
              <w:t>SolutionArchitect</w:t>
            </w:r>
            <w:proofErr w:type="spellEnd"/>
          </w:p>
        </w:tc>
        <w:tc>
          <w:tcPr>
            <w:tcW w:w="1140" w:type="dxa"/>
            <w:shd w:val="clear" w:color="auto" w:fill="auto"/>
            <w:noWrap/>
            <w:vAlign w:val="bottom"/>
            <w:hideMark/>
          </w:tcPr>
          <w:p w14:paraId="3ECF5227"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1000</w:t>
            </w:r>
          </w:p>
        </w:tc>
        <w:tc>
          <w:tcPr>
            <w:tcW w:w="1540" w:type="dxa"/>
            <w:shd w:val="clear" w:color="auto" w:fill="auto"/>
            <w:noWrap/>
            <w:vAlign w:val="bottom"/>
            <w:hideMark/>
          </w:tcPr>
          <w:p w14:paraId="328F6A8D"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8</w:t>
            </w:r>
          </w:p>
        </w:tc>
        <w:tc>
          <w:tcPr>
            <w:tcW w:w="980" w:type="dxa"/>
            <w:shd w:val="clear" w:color="auto" w:fill="auto"/>
            <w:noWrap/>
            <w:vAlign w:val="bottom"/>
            <w:hideMark/>
          </w:tcPr>
          <w:p w14:paraId="42F76888"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40000</w:t>
            </w:r>
          </w:p>
        </w:tc>
      </w:tr>
      <w:tr w:rsidR="00351265" w:rsidRPr="00351265" w14:paraId="48B5947D" w14:textId="77777777" w:rsidTr="00351265">
        <w:trPr>
          <w:trHeight w:val="288"/>
          <w:jc w:val="center"/>
        </w:trPr>
        <w:tc>
          <w:tcPr>
            <w:tcW w:w="3720" w:type="dxa"/>
            <w:shd w:val="clear" w:color="auto" w:fill="auto"/>
            <w:noWrap/>
            <w:hideMark/>
          </w:tcPr>
          <w:p w14:paraId="390D3865"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proofErr w:type="spellStart"/>
            <w:r w:rsidRPr="00351265">
              <w:rPr>
                <w:rFonts w:ascii="Calibri" w:eastAsia="Times New Roman" w:hAnsi="Calibri" w:cs="Calibri"/>
                <w:color w:val="000000"/>
                <w:kern w:val="0"/>
                <w:lang w:val="en-IN" w:eastAsia="en-IN"/>
                <w14:ligatures w14:val="none"/>
              </w:rPr>
              <w:t>ServerMigrationEngineer</w:t>
            </w:r>
            <w:proofErr w:type="spellEnd"/>
          </w:p>
        </w:tc>
        <w:tc>
          <w:tcPr>
            <w:tcW w:w="1140" w:type="dxa"/>
            <w:shd w:val="clear" w:color="auto" w:fill="auto"/>
            <w:noWrap/>
            <w:vAlign w:val="bottom"/>
            <w:hideMark/>
          </w:tcPr>
          <w:p w14:paraId="4B39555B"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650</w:t>
            </w:r>
          </w:p>
        </w:tc>
        <w:tc>
          <w:tcPr>
            <w:tcW w:w="1540" w:type="dxa"/>
            <w:shd w:val="clear" w:color="auto" w:fill="auto"/>
            <w:noWrap/>
            <w:vAlign w:val="bottom"/>
            <w:hideMark/>
          </w:tcPr>
          <w:p w14:paraId="718C55A7"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2</w:t>
            </w:r>
          </w:p>
        </w:tc>
        <w:tc>
          <w:tcPr>
            <w:tcW w:w="980" w:type="dxa"/>
            <w:shd w:val="clear" w:color="auto" w:fill="auto"/>
            <w:noWrap/>
            <w:vAlign w:val="bottom"/>
            <w:hideMark/>
          </w:tcPr>
          <w:p w14:paraId="2FBEE074"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6500</w:t>
            </w:r>
          </w:p>
        </w:tc>
      </w:tr>
      <w:tr w:rsidR="00351265" w:rsidRPr="00351265" w14:paraId="71F7F79F" w14:textId="77777777" w:rsidTr="00351265">
        <w:trPr>
          <w:trHeight w:val="288"/>
          <w:jc w:val="center"/>
        </w:trPr>
        <w:tc>
          <w:tcPr>
            <w:tcW w:w="3720" w:type="dxa"/>
            <w:shd w:val="clear" w:color="auto" w:fill="auto"/>
            <w:noWrap/>
            <w:hideMark/>
          </w:tcPr>
          <w:p w14:paraId="790E4AC9" w14:textId="77777777"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proofErr w:type="spellStart"/>
            <w:r w:rsidRPr="00351265">
              <w:rPr>
                <w:rFonts w:ascii="Calibri" w:eastAsia="Times New Roman" w:hAnsi="Calibri" w:cs="Calibri"/>
                <w:color w:val="000000"/>
                <w:kern w:val="0"/>
                <w:lang w:val="en-IN" w:eastAsia="en-IN"/>
                <w14:ligatures w14:val="none"/>
              </w:rPr>
              <w:t>DatabaseMigrationEngineer</w:t>
            </w:r>
            <w:proofErr w:type="spellEnd"/>
          </w:p>
        </w:tc>
        <w:tc>
          <w:tcPr>
            <w:tcW w:w="1140" w:type="dxa"/>
            <w:shd w:val="clear" w:color="auto" w:fill="auto"/>
            <w:noWrap/>
            <w:vAlign w:val="bottom"/>
            <w:hideMark/>
          </w:tcPr>
          <w:p w14:paraId="3457F6E2"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750</w:t>
            </w:r>
          </w:p>
        </w:tc>
        <w:tc>
          <w:tcPr>
            <w:tcW w:w="1540" w:type="dxa"/>
            <w:shd w:val="clear" w:color="auto" w:fill="auto"/>
            <w:noWrap/>
            <w:vAlign w:val="bottom"/>
            <w:hideMark/>
          </w:tcPr>
          <w:p w14:paraId="2DA70B4D"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2</w:t>
            </w:r>
          </w:p>
        </w:tc>
        <w:tc>
          <w:tcPr>
            <w:tcW w:w="980" w:type="dxa"/>
            <w:shd w:val="clear" w:color="auto" w:fill="auto"/>
            <w:noWrap/>
            <w:vAlign w:val="bottom"/>
            <w:hideMark/>
          </w:tcPr>
          <w:p w14:paraId="7C696295"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7500</w:t>
            </w:r>
          </w:p>
        </w:tc>
      </w:tr>
      <w:tr w:rsidR="00351265" w:rsidRPr="00351265" w14:paraId="212595AB" w14:textId="77777777" w:rsidTr="00351265">
        <w:trPr>
          <w:trHeight w:val="288"/>
          <w:jc w:val="center"/>
        </w:trPr>
        <w:tc>
          <w:tcPr>
            <w:tcW w:w="3720" w:type="dxa"/>
            <w:shd w:val="clear" w:color="auto" w:fill="auto"/>
            <w:noWrap/>
            <w:hideMark/>
          </w:tcPr>
          <w:p w14:paraId="50E37497" w14:textId="230987E4" w:rsidR="00351265" w:rsidRPr="00351265" w:rsidRDefault="00351265" w:rsidP="00351265">
            <w:pPr>
              <w:spacing w:after="0" w:line="240" w:lineRule="auto"/>
              <w:jc w:val="left"/>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 xml:space="preserve">Total </w:t>
            </w:r>
            <w:r w:rsidR="00E01FB6">
              <w:rPr>
                <w:rFonts w:ascii="Calibri" w:eastAsia="Times New Roman" w:hAnsi="Calibri" w:cs="Calibri"/>
                <w:color w:val="000000"/>
                <w:kern w:val="0"/>
                <w:lang w:val="en-IN" w:eastAsia="en-IN"/>
                <w14:ligatures w14:val="none"/>
              </w:rPr>
              <w:t>TCO estimated</w:t>
            </w:r>
          </w:p>
        </w:tc>
        <w:tc>
          <w:tcPr>
            <w:tcW w:w="1140" w:type="dxa"/>
            <w:shd w:val="clear" w:color="auto" w:fill="auto"/>
            <w:noWrap/>
            <w:vAlign w:val="bottom"/>
            <w:hideMark/>
          </w:tcPr>
          <w:p w14:paraId="40FC9900" w14:textId="37EECD74"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p>
        </w:tc>
        <w:tc>
          <w:tcPr>
            <w:tcW w:w="1540" w:type="dxa"/>
            <w:shd w:val="clear" w:color="auto" w:fill="auto"/>
            <w:noWrap/>
            <w:vAlign w:val="bottom"/>
            <w:hideMark/>
          </w:tcPr>
          <w:p w14:paraId="35866E2A"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p>
        </w:tc>
        <w:tc>
          <w:tcPr>
            <w:tcW w:w="980" w:type="dxa"/>
            <w:shd w:val="clear" w:color="auto" w:fill="auto"/>
            <w:noWrap/>
            <w:vAlign w:val="bottom"/>
            <w:hideMark/>
          </w:tcPr>
          <w:p w14:paraId="013D20F2" w14:textId="77777777" w:rsidR="00351265" w:rsidRPr="00351265" w:rsidRDefault="00351265" w:rsidP="00351265">
            <w:pPr>
              <w:spacing w:after="0" w:line="240" w:lineRule="auto"/>
              <w:jc w:val="right"/>
              <w:rPr>
                <w:rFonts w:ascii="Calibri" w:eastAsia="Times New Roman" w:hAnsi="Calibri" w:cs="Calibri"/>
                <w:color w:val="000000"/>
                <w:kern w:val="0"/>
                <w:lang w:val="en-IN" w:eastAsia="en-IN"/>
                <w14:ligatures w14:val="none"/>
              </w:rPr>
            </w:pPr>
            <w:r w:rsidRPr="00351265">
              <w:rPr>
                <w:rFonts w:ascii="Calibri" w:eastAsia="Times New Roman" w:hAnsi="Calibri" w:cs="Calibri"/>
                <w:color w:val="000000"/>
                <w:kern w:val="0"/>
                <w:lang w:val="en-IN" w:eastAsia="en-IN"/>
                <w14:ligatures w14:val="none"/>
              </w:rPr>
              <w:t>150000</w:t>
            </w:r>
          </w:p>
        </w:tc>
      </w:tr>
    </w:tbl>
    <w:p w14:paraId="2720C1BE" w14:textId="5DAC80F0" w:rsidR="0001684C" w:rsidRDefault="0001684C" w:rsidP="0001684C">
      <w:pPr>
        <w:spacing w:after="0"/>
        <w:jc w:val="center"/>
      </w:pPr>
      <w:r>
        <w:t>Table 1: Total Initial cost estimation breakdown</w:t>
      </w:r>
    </w:p>
    <w:p w14:paraId="010D08E9" w14:textId="77777777" w:rsidR="0001684C" w:rsidRDefault="0001684C" w:rsidP="00351265">
      <w:pPr>
        <w:spacing w:after="0"/>
      </w:pPr>
    </w:p>
    <w:p w14:paraId="4A558ECF" w14:textId="2EB56C6B" w:rsidR="00351265" w:rsidRDefault="00351265" w:rsidP="00351265">
      <w:pPr>
        <w:spacing w:after="0"/>
        <w:rPr>
          <w:rFonts w:ascii="Calibri" w:eastAsia="Times New Roman" w:hAnsi="Calibri" w:cs="Calibri"/>
          <w:color w:val="000000"/>
          <w:kern w:val="0"/>
          <w:lang w:val="en-IN" w:eastAsia="en-IN"/>
          <w14:ligatures w14:val="none"/>
        </w:rPr>
      </w:pPr>
      <w:r>
        <w:t xml:space="preserve">The TCO will be estimated as </w:t>
      </w:r>
      <w:r w:rsidRPr="00351265">
        <w:rPr>
          <w:rFonts w:ascii="Calibri" w:eastAsia="Times New Roman" w:hAnsi="Calibri" w:cs="Calibri"/>
          <w:color w:val="000000"/>
          <w:kern w:val="0"/>
          <w:lang w:val="en-IN" w:eastAsia="en-IN"/>
          <w14:ligatures w14:val="none"/>
        </w:rPr>
        <w:t>150000</w:t>
      </w:r>
      <w:r>
        <w:rPr>
          <w:rFonts w:ascii="Calibri" w:eastAsia="Times New Roman" w:hAnsi="Calibri" w:cs="Calibri"/>
          <w:color w:val="000000"/>
          <w:kern w:val="0"/>
          <w:lang w:val="en-IN" w:eastAsia="en-IN"/>
          <w14:ligatures w14:val="none"/>
        </w:rPr>
        <w:t xml:space="preserve">, which excludes the extra training cost required for training the existing employee of </w:t>
      </w:r>
      <w:proofErr w:type="spellStart"/>
      <w:r>
        <w:rPr>
          <w:rFonts w:ascii="Calibri" w:eastAsia="Times New Roman" w:hAnsi="Calibri" w:cs="Calibri"/>
          <w:color w:val="000000"/>
          <w:kern w:val="0"/>
          <w:lang w:val="en-IN" w:eastAsia="en-IN"/>
          <w14:ligatures w14:val="none"/>
        </w:rPr>
        <w:t>FishTank</w:t>
      </w:r>
      <w:proofErr w:type="spellEnd"/>
      <w:r>
        <w:rPr>
          <w:rFonts w:ascii="Calibri" w:eastAsia="Times New Roman" w:hAnsi="Calibri" w:cs="Calibri"/>
          <w:color w:val="000000"/>
          <w:kern w:val="0"/>
          <w:lang w:val="en-IN" w:eastAsia="en-IN"/>
          <w14:ligatures w14:val="none"/>
        </w:rPr>
        <w:t xml:space="preserve"> Ltd. </w:t>
      </w:r>
    </w:p>
    <w:p w14:paraId="7A3AE6BD" w14:textId="77777777" w:rsidR="00351265" w:rsidRDefault="00351265" w:rsidP="00351265">
      <w:pPr>
        <w:spacing w:after="0"/>
        <w:rPr>
          <w:rFonts w:ascii="Calibri" w:eastAsia="Times New Roman" w:hAnsi="Calibri" w:cs="Calibri"/>
          <w:color w:val="000000"/>
          <w:kern w:val="0"/>
          <w:lang w:val="en-IN" w:eastAsia="en-IN"/>
          <w14:ligatures w14:val="none"/>
        </w:rPr>
      </w:pPr>
    </w:p>
    <w:p w14:paraId="063D8254" w14:textId="4B536ACB" w:rsidR="00351265" w:rsidRDefault="00351265" w:rsidP="00351265">
      <w:pPr>
        <w:spacing w:after="0"/>
      </w:pPr>
      <w:r>
        <w:rPr>
          <w:rFonts w:ascii="Calibri" w:eastAsia="Times New Roman" w:hAnsi="Calibri" w:cs="Calibri"/>
          <w:color w:val="000000"/>
          <w:kern w:val="0"/>
          <w:lang w:val="en-IN" w:eastAsia="en-IN"/>
          <w14:ligatures w14:val="none"/>
        </w:rPr>
        <w:t xml:space="preserve">Operation cost will include the monthly service charge for each </w:t>
      </w:r>
      <w:r w:rsidR="00F92B40">
        <w:rPr>
          <w:rFonts w:ascii="Calibri" w:eastAsia="Times New Roman" w:hAnsi="Calibri" w:cs="Calibri"/>
          <w:color w:val="000000"/>
          <w:kern w:val="0"/>
          <w:lang w:val="en-IN" w:eastAsia="en-IN"/>
          <w14:ligatures w14:val="none"/>
        </w:rPr>
        <w:t>service</w:t>
      </w:r>
      <w:r>
        <w:rPr>
          <w:rFonts w:ascii="Calibri" w:eastAsia="Times New Roman" w:hAnsi="Calibri" w:cs="Calibri"/>
          <w:color w:val="000000"/>
          <w:kern w:val="0"/>
          <w:lang w:val="en-IN" w:eastAsia="en-IN"/>
          <w14:ligatures w14:val="none"/>
        </w:rPr>
        <w:t xml:space="preserve"> and roles required for support and further development. </w:t>
      </w:r>
      <w:r w:rsidR="002F7EC1">
        <w:rPr>
          <w:rFonts w:ascii="Calibri" w:eastAsia="Times New Roman" w:hAnsi="Calibri" w:cs="Calibri"/>
          <w:color w:val="000000"/>
          <w:kern w:val="0"/>
          <w:lang w:val="en-IN" w:eastAsia="en-IN"/>
          <w14:ligatures w14:val="none"/>
        </w:rPr>
        <w:t>To keep the operation</w:t>
      </w:r>
      <w:r w:rsidR="00F92B40">
        <w:rPr>
          <w:rFonts w:ascii="Calibri" w:eastAsia="Times New Roman" w:hAnsi="Calibri" w:cs="Calibri"/>
          <w:color w:val="000000"/>
          <w:kern w:val="0"/>
          <w:lang w:val="en-IN" w:eastAsia="en-IN"/>
          <w14:ligatures w14:val="none"/>
        </w:rPr>
        <w:t xml:space="preserve"> cost of EC2 instances </w:t>
      </w:r>
      <w:r w:rsidR="002F7EC1">
        <w:rPr>
          <w:rFonts w:ascii="Calibri" w:eastAsia="Times New Roman" w:hAnsi="Calibri" w:cs="Calibri"/>
          <w:color w:val="000000"/>
          <w:kern w:val="0"/>
          <w:lang w:val="en-IN" w:eastAsia="en-IN"/>
          <w14:ligatures w14:val="none"/>
        </w:rPr>
        <w:t>minimal, shared and  on-demand instances are chosen to keep the flexibility to enhance the architecture and cost optimise in future</w:t>
      </w:r>
      <w:r w:rsidR="00E01FB6">
        <w:rPr>
          <w:rFonts w:ascii="Calibri" w:eastAsia="Times New Roman" w:hAnsi="Calibri" w:cs="Calibri"/>
          <w:color w:val="000000"/>
          <w:kern w:val="0"/>
          <w:lang w:val="en-IN" w:eastAsia="en-IN"/>
          <w14:ligatures w14:val="none"/>
        </w:rPr>
        <w:t>.</w:t>
      </w:r>
    </w:p>
    <w:p w14:paraId="4C9D7ED5" w14:textId="77777777" w:rsidR="00351265" w:rsidRDefault="00351265" w:rsidP="00351265">
      <w:pPr>
        <w:spacing w:after="0"/>
      </w:pPr>
    </w:p>
    <w:tbl>
      <w:tblPr>
        <w:tblStyle w:val="TableGrid"/>
        <w:tblW w:w="0" w:type="auto"/>
        <w:jc w:val="center"/>
        <w:tblLayout w:type="fixed"/>
        <w:tblLook w:val="04A0" w:firstRow="1" w:lastRow="0" w:firstColumn="1" w:lastColumn="0" w:noHBand="0" w:noVBand="1"/>
      </w:tblPr>
      <w:tblGrid>
        <w:gridCol w:w="4531"/>
        <w:gridCol w:w="2410"/>
        <w:gridCol w:w="1559"/>
      </w:tblGrid>
      <w:tr w:rsidR="00286630" w:rsidRPr="00286630" w14:paraId="6D3FC1C7" w14:textId="77777777" w:rsidTr="00E01FB6">
        <w:trPr>
          <w:jc w:val="center"/>
        </w:trPr>
        <w:tc>
          <w:tcPr>
            <w:tcW w:w="4531" w:type="dxa"/>
          </w:tcPr>
          <w:p w14:paraId="7F04388E" w14:textId="2B4E96B1" w:rsidR="00F92B40" w:rsidRPr="00286630" w:rsidRDefault="00F92B40" w:rsidP="00A64C4A">
            <w:pPr>
              <w:rPr>
                <w:rFonts w:cstheme="minorHAnsi"/>
              </w:rPr>
            </w:pPr>
            <w:r w:rsidRPr="00286630">
              <w:rPr>
                <w:rFonts w:cstheme="minorHAnsi"/>
              </w:rPr>
              <w:t>Resource</w:t>
            </w:r>
          </w:p>
        </w:tc>
        <w:tc>
          <w:tcPr>
            <w:tcW w:w="2410" w:type="dxa"/>
          </w:tcPr>
          <w:p w14:paraId="5FFA98E5" w14:textId="08887876" w:rsidR="00F92B40" w:rsidRPr="00286630" w:rsidRDefault="00F92B40" w:rsidP="00A64C4A">
            <w:pPr>
              <w:rPr>
                <w:rFonts w:cstheme="minorHAnsi"/>
              </w:rPr>
            </w:pPr>
            <w:r w:rsidRPr="00286630">
              <w:rPr>
                <w:rFonts w:cstheme="minorHAnsi"/>
              </w:rPr>
              <w:t>Quantity</w:t>
            </w:r>
          </w:p>
        </w:tc>
        <w:tc>
          <w:tcPr>
            <w:tcW w:w="1559" w:type="dxa"/>
          </w:tcPr>
          <w:p w14:paraId="2BC86607" w14:textId="79EA1856" w:rsidR="00F92B40" w:rsidRPr="00286630" w:rsidRDefault="00F92B40" w:rsidP="00A64C4A">
            <w:pPr>
              <w:rPr>
                <w:rFonts w:cstheme="minorHAnsi"/>
              </w:rPr>
            </w:pPr>
            <w:r w:rsidRPr="00286630">
              <w:rPr>
                <w:rFonts w:cstheme="minorHAnsi"/>
              </w:rPr>
              <w:t>Monthly price</w:t>
            </w:r>
          </w:p>
        </w:tc>
      </w:tr>
      <w:tr w:rsidR="00286630" w:rsidRPr="00286630" w14:paraId="4E62C9FC" w14:textId="77777777" w:rsidTr="00E01FB6">
        <w:trPr>
          <w:jc w:val="center"/>
        </w:trPr>
        <w:tc>
          <w:tcPr>
            <w:tcW w:w="4531" w:type="dxa"/>
          </w:tcPr>
          <w:p w14:paraId="41F9F2DE" w14:textId="460966D9" w:rsidR="00F92B40" w:rsidRPr="00286630" w:rsidRDefault="00F92B40" w:rsidP="00A64C4A">
            <w:pPr>
              <w:rPr>
                <w:rFonts w:cstheme="minorHAnsi"/>
              </w:rPr>
            </w:pPr>
            <w:r w:rsidRPr="00286630">
              <w:rPr>
                <w:rFonts w:cstheme="minorHAnsi"/>
              </w:rPr>
              <w:t>EC2 (t3.medium)(web server instance)</w:t>
            </w:r>
          </w:p>
        </w:tc>
        <w:tc>
          <w:tcPr>
            <w:tcW w:w="2410" w:type="dxa"/>
          </w:tcPr>
          <w:p w14:paraId="2CE706FE" w14:textId="46BA505A" w:rsidR="00F92B40" w:rsidRPr="00286630" w:rsidRDefault="00F92B40" w:rsidP="00A64C4A">
            <w:pPr>
              <w:rPr>
                <w:rFonts w:cstheme="minorHAnsi"/>
              </w:rPr>
            </w:pPr>
            <w:r w:rsidRPr="00286630">
              <w:rPr>
                <w:rFonts w:cstheme="minorHAnsi"/>
              </w:rPr>
              <w:t>4</w:t>
            </w:r>
          </w:p>
        </w:tc>
        <w:tc>
          <w:tcPr>
            <w:tcW w:w="1559" w:type="dxa"/>
          </w:tcPr>
          <w:p w14:paraId="3603F7AB" w14:textId="21E6B220" w:rsidR="00F92B40" w:rsidRPr="00286630" w:rsidRDefault="00F92B40" w:rsidP="00A64C4A">
            <w:pPr>
              <w:rPr>
                <w:rFonts w:cstheme="minorHAnsi"/>
              </w:rPr>
            </w:pPr>
            <w:r w:rsidRPr="00286630">
              <w:rPr>
                <w:rFonts w:cstheme="minorHAnsi"/>
              </w:rPr>
              <w:t>1.75</w:t>
            </w:r>
          </w:p>
        </w:tc>
      </w:tr>
      <w:tr w:rsidR="00286630" w:rsidRPr="00286630" w14:paraId="061BAFBF" w14:textId="77777777" w:rsidTr="00E01FB6">
        <w:trPr>
          <w:jc w:val="center"/>
        </w:trPr>
        <w:tc>
          <w:tcPr>
            <w:tcW w:w="4531" w:type="dxa"/>
          </w:tcPr>
          <w:p w14:paraId="31D151F3" w14:textId="531757AF" w:rsidR="00F92B40" w:rsidRPr="00286630" w:rsidRDefault="00F92B40" w:rsidP="00A64C4A">
            <w:pPr>
              <w:rPr>
                <w:rFonts w:cstheme="minorHAnsi"/>
              </w:rPr>
            </w:pPr>
            <w:r w:rsidRPr="00286630">
              <w:rPr>
                <w:rFonts w:cstheme="minorHAnsi"/>
              </w:rPr>
              <w:t>EC2 (</w:t>
            </w:r>
            <w:r w:rsidR="002F7EC1" w:rsidRPr="00286630">
              <w:rPr>
                <w:rFonts w:cstheme="minorHAnsi"/>
              </w:rPr>
              <w:t>c6a.xlarge</w:t>
            </w:r>
            <w:r w:rsidRPr="00286630">
              <w:rPr>
                <w:rFonts w:cstheme="minorHAnsi"/>
              </w:rPr>
              <w:t>)(app server instance)</w:t>
            </w:r>
          </w:p>
        </w:tc>
        <w:tc>
          <w:tcPr>
            <w:tcW w:w="2410" w:type="dxa"/>
          </w:tcPr>
          <w:p w14:paraId="4641941E" w14:textId="7D570706" w:rsidR="00F92B40" w:rsidRPr="00286630" w:rsidRDefault="002F7EC1" w:rsidP="00A64C4A">
            <w:pPr>
              <w:rPr>
                <w:rFonts w:cstheme="minorHAnsi"/>
              </w:rPr>
            </w:pPr>
            <w:r w:rsidRPr="00286630">
              <w:rPr>
                <w:rFonts w:cstheme="minorHAnsi"/>
              </w:rPr>
              <w:t>4</w:t>
            </w:r>
          </w:p>
        </w:tc>
        <w:tc>
          <w:tcPr>
            <w:tcW w:w="1559" w:type="dxa"/>
          </w:tcPr>
          <w:p w14:paraId="5CDC2F9E" w14:textId="7F41168A" w:rsidR="00F92B40" w:rsidRPr="00286630" w:rsidRDefault="002F7EC1" w:rsidP="00A64C4A">
            <w:pPr>
              <w:rPr>
                <w:rFonts w:cstheme="minorHAnsi"/>
              </w:rPr>
            </w:pPr>
            <w:r w:rsidRPr="00286630">
              <w:rPr>
                <w:rFonts w:cstheme="minorHAnsi"/>
              </w:rPr>
              <w:t>9.84</w:t>
            </w:r>
          </w:p>
        </w:tc>
      </w:tr>
      <w:tr w:rsidR="00286630" w:rsidRPr="00286630" w14:paraId="49B67EF4" w14:textId="77777777" w:rsidTr="00E01FB6">
        <w:trPr>
          <w:jc w:val="center"/>
        </w:trPr>
        <w:tc>
          <w:tcPr>
            <w:tcW w:w="4531" w:type="dxa"/>
          </w:tcPr>
          <w:p w14:paraId="3EEBB45E" w14:textId="39794D77" w:rsidR="00F92B40" w:rsidRPr="00286630" w:rsidRDefault="002F7EC1" w:rsidP="00A64C4A">
            <w:pPr>
              <w:rPr>
                <w:rFonts w:cstheme="minorHAnsi"/>
              </w:rPr>
            </w:pPr>
            <w:r w:rsidRPr="00286630">
              <w:rPr>
                <w:rFonts w:cstheme="minorHAnsi"/>
              </w:rPr>
              <w:t xml:space="preserve">EBS for web server </w:t>
            </w:r>
          </w:p>
        </w:tc>
        <w:tc>
          <w:tcPr>
            <w:tcW w:w="2410" w:type="dxa"/>
          </w:tcPr>
          <w:p w14:paraId="73736298" w14:textId="7D9DA884" w:rsidR="00F92B40" w:rsidRPr="00286630" w:rsidRDefault="002F7EC1" w:rsidP="00A64C4A">
            <w:pPr>
              <w:rPr>
                <w:rFonts w:cstheme="minorHAnsi"/>
              </w:rPr>
            </w:pPr>
            <w:r w:rsidRPr="00286630">
              <w:rPr>
                <w:rFonts w:cstheme="minorHAnsi"/>
              </w:rPr>
              <w:t>4</w:t>
            </w:r>
          </w:p>
        </w:tc>
        <w:tc>
          <w:tcPr>
            <w:tcW w:w="1559" w:type="dxa"/>
          </w:tcPr>
          <w:p w14:paraId="2C9A695D" w14:textId="4E203D70" w:rsidR="00F92B40" w:rsidRPr="00286630" w:rsidRDefault="00E01FB6" w:rsidP="00A64C4A">
            <w:pPr>
              <w:rPr>
                <w:rFonts w:cstheme="minorHAnsi"/>
              </w:rPr>
            </w:pPr>
            <w:r>
              <w:rPr>
                <w:rFonts w:cstheme="minorHAnsi"/>
              </w:rPr>
              <w:t>35.56</w:t>
            </w:r>
          </w:p>
        </w:tc>
      </w:tr>
      <w:tr w:rsidR="00286630" w:rsidRPr="00286630" w14:paraId="14CC8CEC" w14:textId="77777777" w:rsidTr="00E01FB6">
        <w:trPr>
          <w:jc w:val="center"/>
        </w:trPr>
        <w:tc>
          <w:tcPr>
            <w:tcW w:w="4531" w:type="dxa"/>
          </w:tcPr>
          <w:p w14:paraId="79312217" w14:textId="5C43F7F7" w:rsidR="00F92B40" w:rsidRPr="00286630" w:rsidRDefault="00F92B40" w:rsidP="00A64C4A">
            <w:pPr>
              <w:rPr>
                <w:rFonts w:cstheme="minorHAnsi"/>
              </w:rPr>
            </w:pPr>
            <w:r w:rsidRPr="00286630">
              <w:rPr>
                <w:rFonts w:cstheme="minorHAnsi"/>
              </w:rPr>
              <w:t>EBS</w:t>
            </w:r>
            <w:r w:rsidR="002F7EC1" w:rsidRPr="00286630">
              <w:rPr>
                <w:rFonts w:cstheme="minorHAnsi"/>
              </w:rPr>
              <w:t xml:space="preserve"> for app server </w:t>
            </w:r>
          </w:p>
        </w:tc>
        <w:tc>
          <w:tcPr>
            <w:tcW w:w="2410" w:type="dxa"/>
          </w:tcPr>
          <w:p w14:paraId="6CF5C92F" w14:textId="368C9366" w:rsidR="00F92B40" w:rsidRPr="00286630" w:rsidRDefault="002F7EC1" w:rsidP="00A64C4A">
            <w:pPr>
              <w:rPr>
                <w:rFonts w:cstheme="minorHAnsi"/>
              </w:rPr>
            </w:pPr>
            <w:r w:rsidRPr="00286630">
              <w:rPr>
                <w:rFonts w:cstheme="minorHAnsi"/>
              </w:rPr>
              <w:t>4</w:t>
            </w:r>
          </w:p>
        </w:tc>
        <w:tc>
          <w:tcPr>
            <w:tcW w:w="1559" w:type="dxa"/>
          </w:tcPr>
          <w:p w14:paraId="2C340198" w14:textId="5F897661" w:rsidR="00F92B40" w:rsidRPr="00286630" w:rsidRDefault="00E01FB6" w:rsidP="00A64C4A">
            <w:pPr>
              <w:rPr>
                <w:rFonts w:cstheme="minorHAnsi"/>
              </w:rPr>
            </w:pPr>
            <w:r>
              <w:rPr>
                <w:rFonts w:cstheme="minorHAnsi"/>
              </w:rPr>
              <w:t>77.96</w:t>
            </w:r>
          </w:p>
        </w:tc>
      </w:tr>
      <w:tr w:rsidR="00286630" w:rsidRPr="00286630" w14:paraId="10D2A755" w14:textId="77777777" w:rsidTr="00E01FB6">
        <w:trPr>
          <w:jc w:val="center"/>
        </w:trPr>
        <w:tc>
          <w:tcPr>
            <w:tcW w:w="4531" w:type="dxa"/>
          </w:tcPr>
          <w:p w14:paraId="06470724" w14:textId="56CBA9DE" w:rsidR="00F92B40" w:rsidRPr="00286630" w:rsidRDefault="002F7EC1" w:rsidP="00A64C4A">
            <w:pPr>
              <w:rPr>
                <w:rFonts w:cstheme="minorHAnsi"/>
              </w:rPr>
            </w:pPr>
            <w:r w:rsidRPr="00286630">
              <w:rPr>
                <w:rFonts w:cstheme="minorHAnsi"/>
              </w:rPr>
              <w:t xml:space="preserve">NAT Gateway usage and data processing cost </w:t>
            </w:r>
          </w:p>
        </w:tc>
        <w:tc>
          <w:tcPr>
            <w:tcW w:w="2410" w:type="dxa"/>
          </w:tcPr>
          <w:p w14:paraId="6DE9958A" w14:textId="08530773" w:rsidR="00F92B40" w:rsidRPr="00286630" w:rsidRDefault="002F7EC1" w:rsidP="00A64C4A">
            <w:pPr>
              <w:rPr>
                <w:rFonts w:cstheme="minorHAnsi"/>
              </w:rPr>
            </w:pPr>
            <w:r w:rsidRPr="00286630">
              <w:rPr>
                <w:rFonts w:cstheme="minorHAnsi"/>
              </w:rPr>
              <w:t>4</w:t>
            </w:r>
          </w:p>
        </w:tc>
        <w:tc>
          <w:tcPr>
            <w:tcW w:w="1559" w:type="dxa"/>
          </w:tcPr>
          <w:p w14:paraId="351AC871" w14:textId="7D0D751E" w:rsidR="00F92B40" w:rsidRPr="00286630" w:rsidRDefault="002F7EC1" w:rsidP="00A64C4A">
            <w:pPr>
              <w:rPr>
                <w:rFonts w:cstheme="minorHAnsi"/>
              </w:rPr>
            </w:pPr>
            <w:r w:rsidRPr="00286630">
              <w:rPr>
                <w:rFonts w:cstheme="minorHAnsi"/>
              </w:rPr>
              <w:t>65.70</w:t>
            </w:r>
          </w:p>
        </w:tc>
      </w:tr>
      <w:tr w:rsidR="00286630" w:rsidRPr="00286630" w14:paraId="17BECBBE" w14:textId="77777777" w:rsidTr="00E01FB6">
        <w:trPr>
          <w:jc w:val="center"/>
        </w:trPr>
        <w:tc>
          <w:tcPr>
            <w:tcW w:w="4531" w:type="dxa"/>
          </w:tcPr>
          <w:p w14:paraId="57609B79" w14:textId="467EEE1F" w:rsidR="002F7EC1" w:rsidRPr="00286630" w:rsidRDefault="00286630" w:rsidP="00286630">
            <w:pPr>
              <w:rPr>
                <w:rFonts w:cstheme="minorHAnsi"/>
              </w:rPr>
            </w:pPr>
            <w:r w:rsidRPr="00286630">
              <w:rPr>
                <w:rFonts w:cstheme="minorHAnsi"/>
              </w:rPr>
              <w:t xml:space="preserve">Application Load Balancer </w:t>
            </w:r>
          </w:p>
        </w:tc>
        <w:tc>
          <w:tcPr>
            <w:tcW w:w="2410" w:type="dxa"/>
          </w:tcPr>
          <w:p w14:paraId="3039554A" w14:textId="0E8201FE" w:rsidR="002F7EC1" w:rsidRPr="00286630" w:rsidRDefault="00286630" w:rsidP="00A64C4A">
            <w:pPr>
              <w:rPr>
                <w:rFonts w:cstheme="minorHAnsi"/>
              </w:rPr>
            </w:pPr>
            <w:r w:rsidRPr="00286630">
              <w:rPr>
                <w:rFonts w:cstheme="minorHAnsi"/>
              </w:rPr>
              <w:t>1</w:t>
            </w:r>
          </w:p>
        </w:tc>
        <w:tc>
          <w:tcPr>
            <w:tcW w:w="1559" w:type="dxa"/>
          </w:tcPr>
          <w:p w14:paraId="2289B3AD" w14:textId="19E09107" w:rsidR="002F7EC1" w:rsidRPr="00286630" w:rsidRDefault="00286630" w:rsidP="00A64C4A">
            <w:pPr>
              <w:rPr>
                <w:rFonts w:cstheme="minorHAnsi"/>
              </w:rPr>
            </w:pPr>
            <w:r w:rsidRPr="00286630">
              <w:rPr>
                <w:rFonts w:cstheme="minorHAnsi"/>
              </w:rPr>
              <w:t>16.43</w:t>
            </w:r>
          </w:p>
        </w:tc>
      </w:tr>
      <w:tr w:rsidR="00286630" w:rsidRPr="00286630" w14:paraId="591BF2EF" w14:textId="77777777" w:rsidTr="00E01FB6">
        <w:trPr>
          <w:jc w:val="center"/>
        </w:trPr>
        <w:tc>
          <w:tcPr>
            <w:tcW w:w="4531" w:type="dxa"/>
          </w:tcPr>
          <w:p w14:paraId="17287870" w14:textId="59B9B21A" w:rsidR="002F7EC1" w:rsidRPr="00286630" w:rsidRDefault="00286630" w:rsidP="00A64C4A">
            <w:pPr>
              <w:rPr>
                <w:rFonts w:cstheme="minorHAnsi"/>
              </w:rPr>
            </w:pPr>
            <w:r w:rsidRPr="00286630">
              <w:rPr>
                <w:rFonts w:cstheme="minorHAnsi"/>
              </w:rPr>
              <w:t>Network Load Balancers</w:t>
            </w:r>
          </w:p>
        </w:tc>
        <w:tc>
          <w:tcPr>
            <w:tcW w:w="2410" w:type="dxa"/>
          </w:tcPr>
          <w:p w14:paraId="06A12121" w14:textId="1FE4617C" w:rsidR="002F7EC1" w:rsidRPr="00286630" w:rsidRDefault="00286630" w:rsidP="00A64C4A">
            <w:pPr>
              <w:rPr>
                <w:rFonts w:cstheme="minorHAnsi"/>
              </w:rPr>
            </w:pPr>
            <w:r w:rsidRPr="00286630">
              <w:rPr>
                <w:rFonts w:cstheme="minorHAnsi"/>
              </w:rPr>
              <w:t>1</w:t>
            </w:r>
          </w:p>
        </w:tc>
        <w:tc>
          <w:tcPr>
            <w:tcW w:w="1559" w:type="dxa"/>
          </w:tcPr>
          <w:p w14:paraId="6E80AA8E" w14:textId="6AD59C91" w:rsidR="002F7EC1" w:rsidRPr="00286630" w:rsidRDefault="00286630" w:rsidP="00A64C4A">
            <w:pPr>
              <w:rPr>
                <w:rFonts w:cstheme="minorHAnsi"/>
              </w:rPr>
            </w:pPr>
            <w:r w:rsidRPr="00286630">
              <w:rPr>
                <w:rFonts w:cstheme="minorHAnsi"/>
              </w:rPr>
              <w:t>16.43</w:t>
            </w:r>
          </w:p>
        </w:tc>
      </w:tr>
      <w:tr w:rsidR="00286630" w:rsidRPr="00286630" w14:paraId="4AC47D50" w14:textId="77777777" w:rsidTr="00E01FB6">
        <w:trPr>
          <w:jc w:val="center"/>
        </w:trPr>
        <w:tc>
          <w:tcPr>
            <w:tcW w:w="4531" w:type="dxa"/>
          </w:tcPr>
          <w:p w14:paraId="1CD470DD" w14:textId="567DB107" w:rsidR="00286630" w:rsidRPr="00286630" w:rsidRDefault="00286630" w:rsidP="00286630">
            <w:pPr>
              <w:rPr>
                <w:rFonts w:cstheme="minorHAnsi"/>
              </w:rPr>
            </w:pPr>
            <w:r w:rsidRPr="00286630">
              <w:rPr>
                <w:rFonts w:cstheme="minorHAnsi"/>
              </w:rPr>
              <w:t>RDS for SQL server cost : 13,643.70</w:t>
            </w:r>
          </w:p>
          <w:p w14:paraId="1CFA8429" w14:textId="3D88C5AB" w:rsidR="00286630" w:rsidRPr="00286630" w:rsidRDefault="00286630" w:rsidP="00286630">
            <w:pPr>
              <w:rPr>
                <w:rFonts w:cstheme="minorHAnsi"/>
              </w:rPr>
            </w:pPr>
            <w:r w:rsidRPr="00286630">
              <w:rPr>
                <w:rFonts w:cstheme="minorHAnsi"/>
              </w:rPr>
              <w:t>Monthly Cost for RDS Proxy: 175.20</w:t>
            </w:r>
          </w:p>
          <w:p w14:paraId="565B9264" w14:textId="215A0137" w:rsidR="00286630" w:rsidRPr="00286630" w:rsidRDefault="00286630" w:rsidP="00286630">
            <w:pPr>
              <w:rPr>
                <w:rFonts w:cstheme="minorHAnsi"/>
              </w:rPr>
            </w:pPr>
            <w:r w:rsidRPr="00286630">
              <w:rPr>
                <w:rFonts w:cstheme="minorHAnsi"/>
              </w:rPr>
              <w:t>Storage pricing : 471.04</w:t>
            </w:r>
          </w:p>
        </w:tc>
        <w:tc>
          <w:tcPr>
            <w:tcW w:w="2410" w:type="dxa"/>
          </w:tcPr>
          <w:p w14:paraId="120BE9FC" w14:textId="19CD183A" w:rsidR="00286630" w:rsidRPr="00286630" w:rsidRDefault="00286630" w:rsidP="00A64C4A">
            <w:pPr>
              <w:rPr>
                <w:rFonts w:cstheme="minorHAnsi"/>
              </w:rPr>
            </w:pPr>
            <w:r>
              <w:rPr>
                <w:rFonts w:cstheme="minorHAnsi"/>
              </w:rPr>
              <w:t>1</w:t>
            </w:r>
          </w:p>
        </w:tc>
        <w:tc>
          <w:tcPr>
            <w:tcW w:w="1559" w:type="dxa"/>
          </w:tcPr>
          <w:p w14:paraId="6E1C3259" w14:textId="5EB36807" w:rsidR="00286630" w:rsidRPr="00286630" w:rsidRDefault="00286630" w:rsidP="00A64C4A">
            <w:pPr>
              <w:rPr>
                <w:rFonts w:cstheme="minorHAnsi"/>
              </w:rPr>
            </w:pPr>
            <w:r w:rsidRPr="00286630">
              <w:rPr>
                <w:rFonts w:cstheme="minorHAnsi"/>
                <w:shd w:val="clear" w:color="auto" w:fill="FFFFFF"/>
              </w:rPr>
              <w:t>14,289.94</w:t>
            </w:r>
          </w:p>
        </w:tc>
      </w:tr>
      <w:tr w:rsidR="00286630" w:rsidRPr="00286630" w14:paraId="4CF85436" w14:textId="77777777" w:rsidTr="00E01FB6">
        <w:trPr>
          <w:jc w:val="center"/>
        </w:trPr>
        <w:tc>
          <w:tcPr>
            <w:tcW w:w="4531" w:type="dxa"/>
          </w:tcPr>
          <w:p w14:paraId="6F5A6BD8" w14:textId="72AAB420" w:rsidR="00286630" w:rsidRPr="00286630" w:rsidRDefault="00286630" w:rsidP="00286630">
            <w:pPr>
              <w:rPr>
                <w:rFonts w:cstheme="minorHAnsi"/>
              </w:rPr>
            </w:pPr>
            <w:r w:rsidRPr="00286630">
              <w:rPr>
                <w:rFonts w:cstheme="minorHAnsi"/>
              </w:rPr>
              <w:lastRenderedPageBreak/>
              <w:t xml:space="preserve">AWS Managed Microsoft AD cost </w:t>
            </w:r>
          </w:p>
        </w:tc>
        <w:tc>
          <w:tcPr>
            <w:tcW w:w="2410" w:type="dxa"/>
          </w:tcPr>
          <w:p w14:paraId="7AE82C36" w14:textId="6C27326C" w:rsidR="00286630" w:rsidRPr="00286630" w:rsidRDefault="00286630" w:rsidP="00A64C4A">
            <w:pPr>
              <w:rPr>
                <w:rFonts w:cstheme="minorHAnsi"/>
              </w:rPr>
            </w:pPr>
            <w:r>
              <w:rPr>
                <w:rFonts w:cstheme="minorHAnsi"/>
              </w:rPr>
              <w:t>1</w:t>
            </w:r>
          </w:p>
        </w:tc>
        <w:tc>
          <w:tcPr>
            <w:tcW w:w="1559" w:type="dxa"/>
          </w:tcPr>
          <w:p w14:paraId="37F4FF71" w14:textId="05E58FCB" w:rsidR="00286630" w:rsidRPr="00286630" w:rsidRDefault="00286630" w:rsidP="00A64C4A">
            <w:pPr>
              <w:rPr>
                <w:rFonts w:cstheme="minorHAnsi"/>
              </w:rPr>
            </w:pPr>
            <w:r w:rsidRPr="00286630">
              <w:rPr>
                <w:rFonts w:cstheme="minorHAnsi"/>
              </w:rPr>
              <w:t>292.00</w:t>
            </w:r>
          </w:p>
        </w:tc>
      </w:tr>
      <w:tr w:rsidR="00286630" w:rsidRPr="00286630" w14:paraId="319600F7" w14:textId="77777777" w:rsidTr="00E01FB6">
        <w:trPr>
          <w:jc w:val="center"/>
        </w:trPr>
        <w:tc>
          <w:tcPr>
            <w:tcW w:w="4531" w:type="dxa"/>
          </w:tcPr>
          <w:p w14:paraId="7DA58D6A" w14:textId="62AF7EF3" w:rsidR="00286630" w:rsidRPr="00E01FB6" w:rsidRDefault="00E01FB6" w:rsidP="00E01FB6">
            <w:pPr>
              <w:spacing w:line="259" w:lineRule="auto"/>
            </w:pPr>
            <w:r>
              <w:t>First/Second line Cloud support £250</w:t>
            </w:r>
          </w:p>
        </w:tc>
        <w:tc>
          <w:tcPr>
            <w:tcW w:w="2410" w:type="dxa"/>
          </w:tcPr>
          <w:p w14:paraId="532F2932" w14:textId="7544BE3A" w:rsidR="00286630" w:rsidRPr="00286630" w:rsidRDefault="00E01FB6" w:rsidP="00A64C4A">
            <w:pPr>
              <w:rPr>
                <w:rFonts w:cstheme="minorHAnsi"/>
              </w:rPr>
            </w:pPr>
            <w:r>
              <w:rPr>
                <w:rFonts w:cstheme="minorHAnsi"/>
              </w:rPr>
              <w:t>2</w:t>
            </w:r>
          </w:p>
        </w:tc>
        <w:tc>
          <w:tcPr>
            <w:tcW w:w="1559" w:type="dxa"/>
          </w:tcPr>
          <w:p w14:paraId="534C4F96" w14:textId="157C7EBB" w:rsidR="00286630" w:rsidRPr="00286630" w:rsidRDefault="00E01FB6" w:rsidP="00A64C4A">
            <w:pPr>
              <w:rPr>
                <w:rFonts w:cstheme="minorHAnsi"/>
              </w:rPr>
            </w:pPr>
            <w:r>
              <w:rPr>
                <w:rFonts w:cstheme="minorHAnsi"/>
              </w:rPr>
              <w:t>11000</w:t>
            </w:r>
          </w:p>
        </w:tc>
      </w:tr>
      <w:tr w:rsidR="00E01FB6" w:rsidRPr="00286630" w14:paraId="181B7270" w14:textId="77777777" w:rsidTr="00E01FB6">
        <w:trPr>
          <w:jc w:val="center"/>
        </w:trPr>
        <w:tc>
          <w:tcPr>
            <w:tcW w:w="4531" w:type="dxa"/>
          </w:tcPr>
          <w:p w14:paraId="0BFF6BAD" w14:textId="4FA0AC73" w:rsidR="00E01FB6" w:rsidRDefault="00E01FB6" w:rsidP="00E01FB6">
            <w:r>
              <w:t>Third line Cloud support £350</w:t>
            </w:r>
          </w:p>
        </w:tc>
        <w:tc>
          <w:tcPr>
            <w:tcW w:w="2410" w:type="dxa"/>
          </w:tcPr>
          <w:p w14:paraId="60D281CB" w14:textId="01A623E5" w:rsidR="00E01FB6" w:rsidRDefault="00E01FB6" w:rsidP="00A64C4A">
            <w:pPr>
              <w:rPr>
                <w:rFonts w:cstheme="minorHAnsi"/>
              </w:rPr>
            </w:pPr>
            <w:r>
              <w:rPr>
                <w:rFonts w:cstheme="minorHAnsi"/>
              </w:rPr>
              <w:t>2</w:t>
            </w:r>
          </w:p>
        </w:tc>
        <w:tc>
          <w:tcPr>
            <w:tcW w:w="1559" w:type="dxa"/>
          </w:tcPr>
          <w:p w14:paraId="06CA408F" w14:textId="12886C12" w:rsidR="00E01FB6" w:rsidRPr="00286630" w:rsidRDefault="00E01FB6" w:rsidP="00A64C4A">
            <w:pPr>
              <w:rPr>
                <w:rFonts w:cstheme="minorHAnsi"/>
              </w:rPr>
            </w:pPr>
            <w:r>
              <w:rPr>
                <w:rFonts w:cstheme="minorHAnsi"/>
              </w:rPr>
              <w:t>15400</w:t>
            </w:r>
          </w:p>
        </w:tc>
      </w:tr>
      <w:tr w:rsidR="00E01FB6" w:rsidRPr="00286630" w14:paraId="11924E38" w14:textId="77777777" w:rsidTr="00E01FB6">
        <w:trPr>
          <w:jc w:val="center"/>
        </w:trPr>
        <w:tc>
          <w:tcPr>
            <w:tcW w:w="4531" w:type="dxa"/>
          </w:tcPr>
          <w:p w14:paraId="557D2EDA" w14:textId="69CB8A05" w:rsidR="00E01FB6" w:rsidRDefault="00E01FB6" w:rsidP="00E01FB6">
            <w:proofErr w:type="spellStart"/>
            <w:r w:rsidRPr="00351265">
              <w:rPr>
                <w:rFonts w:ascii="Calibri" w:eastAsia="Times New Roman" w:hAnsi="Calibri" w:cs="Calibri"/>
                <w:color w:val="000000"/>
                <w:kern w:val="0"/>
                <w:lang w:val="en-IN" w:eastAsia="en-IN"/>
                <w14:ligatures w14:val="none"/>
              </w:rPr>
              <w:t>BusinessAnalyst</w:t>
            </w:r>
            <w:proofErr w:type="spellEnd"/>
            <w:r>
              <w:rPr>
                <w:rFonts w:ascii="Calibri" w:eastAsia="Times New Roman" w:hAnsi="Calibri" w:cs="Calibri"/>
                <w:color w:val="000000"/>
                <w:kern w:val="0"/>
                <w:lang w:val="en-IN" w:eastAsia="en-IN"/>
                <w14:ligatures w14:val="none"/>
              </w:rPr>
              <w:t xml:space="preserve"> </w:t>
            </w:r>
            <w:r w:rsidRPr="00351265">
              <w:rPr>
                <w:rFonts w:ascii="Calibri" w:eastAsia="Times New Roman" w:hAnsi="Calibri" w:cs="Calibri"/>
                <w:color w:val="000000"/>
                <w:kern w:val="0"/>
                <w:lang w:val="en-IN" w:eastAsia="en-IN"/>
                <w14:ligatures w14:val="none"/>
              </w:rPr>
              <w:t>400</w:t>
            </w:r>
          </w:p>
        </w:tc>
        <w:tc>
          <w:tcPr>
            <w:tcW w:w="2410" w:type="dxa"/>
            <w:vAlign w:val="bottom"/>
          </w:tcPr>
          <w:p w14:paraId="3E7B4B4B" w14:textId="684BE4EA" w:rsidR="00E01FB6" w:rsidRDefault="00E01FB6" w:rsidP="00E01FB6">
            <w:pPr>
              <w:rPr>
                <w:rFonts w:cstheme="minorHAnsi"/>
              </w:rPr>
            </w:pPr>
            <w:r>
              <w:rPr>
                <w:rFonts w:cstheme="minorHAnsi"/>
              </w:rPr>
              <w:t>1</w:t>
            </w:r>
          </w:p>
        </w:tc>
        <w:tc>
          <w:tcPr>
            <w:tcW w:w="1559" w:type="dxa"/>
          </w:tcPr>
          <w:p w14:paraId="1B045DE1" w14:textId="0897DFA5" w:rsidR="00E01FB6" w:rsidRDefault="00E01FB6" w:rsidP="00E01FB6">
            <w:pPr>
              <w:rPr>
                <w:rFonts w:cstheme="minorHAnsi"/>
              </w:rPr>
            </w:pPr>
            <w:r>
              <w:rPr>
                <w:rFonts w:cstheme="minorHAnsi"/>
              </w:rPr>
              <w:t>8800</w:t>
            </w:r>
          </w:p>
        </w:tc>
      </w:tr>
      <w:tr w:rsidR="00E01FB6" w:rsidRPr="00286630" w14:paraId="7EABF757" w14:textId="77777777" w:rsidTr="00E01FB6">
        <w:trPr>
          <w:jc w:val="center"/>
        </w:trPr>
        <w:tc>
          <w:tcPr>
            <w:tcW w:w="4531" w:type="dxa"/>
          </w:tcPr>
          <w:p w14:paraId="2285DE7E" w14:textId="1F6991BF" w:rsidR="00E01FB6" w:rsidRDefault="00E01FB6" w:rsidP="00E01FB6">
            <w:proofErr w:type="spellStart"/>
            <w:r w:rsidRPr="00351265">
              <w:rPr>
                <w:rFonts w:ascii="Calibri" w:eastAsia="Times New Roman" w:hAnsi="Calibri" w:cs="Calibri"/>
                <w:color w:val="000000"/>
                <w:kern w:val="0"/>
                <w:lang w:val="en-IN" w:eastAsia="en-IN"/>
                <w14:ligatures w14:val="none"/>
              </w:rPr>
              <w:t>CloudConsultant</w:t>
            </w:r>
            <w:proofErr w:type="spellEnd"/>
            <w:r>
              <w:rPr>
                <w:rFonts w:ascii="Calibri" w:eastAsia="Times New Roman" w:hAnsi="Calibri" w:cs="Calibri"/>
                <w:color w:val="000000"/>
                <w:kern w:val="0"/>
                <w:lang w:val="en-IN" w:eastAsia="en-IN"/>
                <w14:ligatures w14:val="none"/>
              </w:rPr>
              <w:t xml:space="preserve"> </w:t>
            </w:r>
            <w:r w:rsidRPr="00351265">
              <w:rPr>
                <w:rFonts w:ascii="Calibri" w:eastAsia="Times New Roman" w:hAnsi="Calibri" w:cs="Calibri"/>
                <w:color w:val="000000"/>
                <w:kern w:val="0"/>
                <w:lang w:val="en-IN" w:eastAsia="en-IN"/>
                <w14:ligatures w14:val="none"/>
              </w:rPr>
              <w:t>2000</w:t>
            </w:r>
          </w:p>
        </w:tc>
        <w:tc>
          <w:tcPr>
            <w:tcW w:w="2410" w:type="dxa"/>
            <w:vAlign w:val="bottom"/>
          </w:tcPr>
          <w:p w14:paraId="04B53FE6" w14:textId="23856B1A" w:rsidR="00E01FB6" w:rsidRDefault="00E01FB6" w:rsidP="00E01FB6">
            <w:pPr>
              <w:rPr>
                <w:rFonts w:cstheme="minorHAnsi"/>
              </w:rPr>
            </w:pPr>
            <w:r>
              <w:rPr>
                <w:rFonts w:cstheme="minorHAnsi"/>
              </w:rPr>
              <w:t>1</w:t>
            </w:r>
          </w:p>
        </w:tc>
        <w:tc>
          <w:tcPr>
            <w:tcW w:w="1559" w:type="dxa"/>
          </w:tcPr>
          <w:p w14:paraId="38610FE8" w14:textId="1C7ABB0E" w:rsidR="00E01FB6" w:rsidRDefault="00E01FB6" w:rsidP="00E01FB6">
            <w:pPr>
              <w:rPr>
                <w:rFonts w:cstheme="minorHAnsi"/>
              </w:rPr>
            </w:pPr>
            <w:r>
              <w:rPr>
                <w:rFonts w:cstheme="minorHAnsi"/>
              </w:rPr>
              <w:t>44000</w:t>
            </w:r>
          </w:p>
        </w:tc>
      </w:tr>
      <w:tr w:rsidR="00E01FB6" w:rsidRPr="00286630" w14:paraId="2F9B88EA" w14:textId="77777777" w:rsidTr="00E01FB6">
        <w:trPr>
          <w:jc w:val="center"/>
        </w:trPr>
        <w:tc>
          <w:tcPr>
            <w:tcW w:w="4531" w:type="dxa"/>
          </w:tcPr>
          <w:p w14:paraId="3CE6F375" w14:textId="706D5DE3" w:rsidR="00E01FB6" w:rsidRPr="00351265" w:rsidRDefault="00E01FB6" w:rsidP="00E01FB6">
            <w:pPr>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Total Monthly cost estimated</w:t>
            </w:r>
          </w:p>
        </w:tc>
        <w:tc>
          <w:tcPr>
            <w:tcW w:w="2410" w:type="dxa"/>
            <w:vAlign w:val="bottom"/>
          </w:tcPr>
          <w:p w14:paraId="0316B03E" w14:textId="77777777" w:rsidR="00E01FB6" w:rsidRDefault="00E01FB6" w:rsidP="00E01FB6">
            <w:pPr>
              <w:rPr>
                <w:rFonts w:cstheme="minorHAnsi"/>
              </w:rPr>
            </w:pPr>
          </w:p>
        </w:tc>
        <w:tc>
          <w:tcPr>
            <w:tcW w:w="1559" w:type="dxa"/>
          </w:tcPr>
          <w:p w14:paraId="1873DABF" w14:textId="6ADA64EC" w:rsidR="00E01FB6" w:rsidRDefault="00E01FB6" w:rsidP="00E01FB6">
            <w:pPr>
              <w:rPr>
                <w:rFonts w:cstheme="minorHAnsi"/>
              </w:rPr>
            </w:pPr>
            <w:r w:rsidRPr="00E01FB6">
              <w:rPr>
                <w:rFonts w:cstheme="minorHAnsi"/>
              </w:rPr>
              <w:t>94005.61</w:t>
            </w:r>
          </w:p>
        </w:tc>
      </w:tr>
    </w:tbl>
    <w:p w14:paraId="362DECD9" w14:textId="59909991" w:rsidR="00A64C4A" w:rsidRDefault="0001684C" w:rsidP="0001684C">
      <w:pPr>
        <w:jc w:val="center"/>
      </w:pPr>
      <w:r>
        <w:t>Table 2: Total Monthly cost estimated</w:t>
      </w:r>
      <w:r w:rsidR="000D0DA3">
        <w:t>.</w:t>
      </w:r>
    </w:p>
    <w:p w14:paraId="35F6B2F7" w14:textId="2DD4D4B1" w:rsidR="00E01FB6" w:rsidRDefault="00E01FB6" w:rsidP="00A64C4A">
      <w:r>
        <w:t>The estimated operational cost that will be occurring every month after cloud migration is 94000 dollars, this expense can be further reduced by analysing the utilization pattern and trend of all services and applying the configuration accordingly.</w:t>
      </w:r>
    </w:p>
    <w:p w14:paraId="3898AFEC" w14:textId="11786FA8" w:rsidR="00A64C4A" w:rsidRDefault="00A64C4A" w:rsidP="005077B0">
      <w:pPr>
        <w:pStyle w:val="Heading1"/>
      </w:pPr>
      <w:bookmarkStart w:id="6" w:name="_Toc157705518"/>
      <w:r>
        <w:t>Conclusion</w:t>
      </w:r>
      <w:bookmarkEnd w:id="6"/>
    </w:p>
    <w:p w14:paraId="65144448" w14:textId="6D3089E0" w:rsidR="00A77FBF" w:rsidRDefault="00A77FBF" w:rsidP="00A64C4A">
      <w:r w:rsidRPr="00A77FBF">
        <w:t xml:space="preserve">This proposal lays out a detailed plan for moving PETRA to the AWS cloud. </w:t>
      </w:r>
      <w:r>
        <w:t>Our</w:t>
      </w:r>
      <w:r w:rsidRPr="00A77FBF">
        <w:t xml:space="preserve"> is confident about making the transition smooth using AWS's strong infrastructure. The pricing is competitive, and </w:t>
      </w:r>
      <w:r>
        <w:t xml:space="preserve">our team </w:t>
      </w:r>
      <w:r w:rsidRPr="00A77FBF">
        <w:t xml:space="preserve">eagerly look forward to helping </w:t>
      </w:r>
      <w:proofErr w:type="spellStart"/>
      <w:r w:rsidRPr="00A77FBF">
        <w:t>FishTank</w:t>
      </w:r>
      <w:proofErr w:type="spellEnd"/>
      <w:r w:rsidRPr="00A77FBF">
        <w:t xml:space="preserve"> Ltd with this important migration.</w:t>
      </w:r>
      <w:r>
        <w:t xml:space="preserve"> </w:t>
      </w:r>
    </w:p>
    <w:p w14:paraId="59C81DEA" w14:textId="77777777" w:rsidR="00A77FBF" w:rsidRDefault="00A77FBF" w:rsidP="00A64C4A"/>
    <w:sectPr w:rsidR="00A77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448"/>
    <w:multiLevelType w:val="hybridMultilevel"/>
    <w:tmpl w:val="2B362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186E582D"/>
    <w:multiLevelType w:val="hybridMultilevel"/>
    <w:tmpl w:val="5E18486E"/>
    <w:lvl w:ilvl="0" w:tplc="F90A7C5E">
      <w:start w:val="1"/>
      <w:numFmt w:val="decimal"/>
      <w:pStyle w:val="ACLBulle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375155B1"/>
    <w:multiLevelType w:val="hybridMultilevel"/>
    <w:tmpl w:val="49246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E62335"/>
    <w:multiLevelType w:val="hybridMultilevel"/>
    <w:tmpl w:val="BE369E2A"/>
    <w:lvl w:ilvl="0" w:tplc="341C8F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707D"/>
    <w:multiLevelType w:val="multilevel"/>
    <w:tmpl w:val="9718E1C0"/>
    <w:lvl w:ilvl="0">
      <w:start w:val="1"/>
      <w:numFmt w:val="decimal"/>
      <w:pStyle w:val="ACLEnumera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5F4D77"/>
    <w:multiLevelType w:val="hybridMultilevel"/>
    <w:tmpl w:val="2B362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80358407">
    <w:abstractNumId w:val="2"/>
  </w:num>
  <w:num w:numId="2" w16cid:durableId="144396177">
    <w:abstractNumId w:val="5"/>
  </w:num>
  <w:num w:numId="3" w16cid:durableId="2090425055">
    <w:abstractNumId w:val="4"/>
  </w:num>
  <w:num w:numId="4" w16cid:durableId="1131363165">
    <w:abstractNumId w:val="1"/>
  </w:num>
  <w:num w:numId="5" w16cid:durableId="1510101780">
    <w:abstractNumId w:val="1"/>
  </w:num>
  <w:num w:numId="6" w16cid:durableId="2007588894">
    <w:abstractNumId w:val="1"/>
  </w:num>
  <w:num w:numId="7" w16cid:durableId="22482885">
    <w:abstractNumId w:val="3"/>
  </w:num>
  <w:num w:numId="8" w16cid:durableId="1117480776">
    <w:abstractNumId w:val="0"/>
  </w:num>
  <w:num w:numId="9" w16cid:durableId="1064364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4A"/>
    <w:rsid w:val="0001684C"/>
    <w:rsid w:val="000D0DA3"/>
    <w:rsid w:val="00162219"/>
    <w:rsid w:val="00273C35"/>
    <w:rsid w:val="00276E3E"/>
    <w:rsid w:val="00286630"/>
    <w:rsid w:val="002F7EC1"/>
    <w:rsid w:val="00351265"/>
    <w:rsid w:val="003B5116"/>
    <w:rsid w:val="003B5A24"/>
    <w:rsid w:val="005077B0"/>
    <w:rsid w:val="005748FD"/>
    <w:rsid w:val="00682821"/>
    <w:rsid w:val="008212E7"/>
    <w:rsid w:val="00840CD3"/>
    <w:rsid w:val="00A34AA7"/>
    <w:rsid w:val="00A64C4A"/>
    <w:rsid w:val="00A77FBF"/>
    <w:rsid w:val="00A935E5"/>
    <w:rsid w:val="00CC6CDA"/>
    <w:rsid w:val="00DC6C52"/>
    <w:rsid w:val="00E01FB6"/>
    <w:rsid w:val="00EA6AB7"/>
    <w:rsid w:val="00ED683A"/>
    <w:rsid w:val="00F14891"/>
    <w:rsid w:val="00F86AAE"/>
    <w:rsid w:val="00F875FC"/>
    <w:rsid w:val="00F92B40"/>
    <w:rsid w:val="00FD3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8ECF"/>
  <w15:chartTrackingRefBased/>
  <w15:docId w15:val="{FF3E850D-EC66-4035-B2C0-B43A8025C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B7"/>
    <w:pPr>
      <w:jc w:val="both"/>
    </w:pPr>
    <w:rPr>
      <w:lang w:val="en-GB"/>
    </w:rPr>
  </w:style>
  <w:style w:type="paragraph" w:styleId="Heading1">
    <w:name w:val="heading 1"/>
    <w:basedOn w:val="Normal"/>
    <w:next w:val="Normal"/>
    <w:link w:val="Heading1Char"/>
    <w:uiPriority w:val="9"/>
    <w:qFormat/>
    <w:rsid w:val="00DC6C52"/>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C52"/>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Heading">
    <w:name w:val="ACL Abstract Heading"/>
    <w:basedOn w:val="Normal"/>
    <w:next w:val="Normal"/>
    <w:qFormat/>
    <w:rsid w:val="00DC6C52"/>
    <w:pPr>
      <w:spacing w:after="200" w:line="245" w:lineRule="auto"/>
      <w:jc w:val="center"/>
    </w:pPr>
    <w:rPr>
      <w:rFonts w:ascii="Times New Roman" w:eastAsia="MS Mincho" w:hAnsi="Times New Roman" w:cs="Times New Roman"/>
      <w:b/>
      <w:bCs/>
      <w:kern w:val="16"/>
      <w:sz w:val="24"/>
      <w:szCs w:val="24"/>
      <w:lang w:val="en-US" w:eastAsia="de-DE"/>
      <w14:ligatures w14:val="none"/>
    </w:rPr>
  </w:style>
  <w:style w:type="paragraph" w:customStyle="1" w:styleId="ACLAbstractText">
    <w:name w:val="ACL Abstract Text"/>
    <w:basedOn w:val="Normal"/>
    <w:qFormat/>
    <w:rsid w:val="005748FD"/>
    <w:pPr>
      <w:spacing w:after="240" w:line="252" w:lineRule="auto"/>
      <w:ind w:left="403" w:right="589"/>
    </w:pPr>
    <w:rPr>
      <w:rFonts w:ascii="Times New Roman" w:eastAsia="MS Mincho" w:hAnsi="Times New Roman" w:cs="Times New Roman"/>
      <w:spacing w:val="-2"/>
      <w:kern w:val="16"/>
      <w:sz w:val="20"/>
      <w:lang w:val="en-US" w:eastAsia="de-DE"/>
      <w14:ligatures w14:val="none"/>
    </w:rPr>
  </w:style>
  <w:style w:type="paragraph" w:customStyle="1" w:styleId="ACLAcknowledgmentsHeader">
    <w:name w:val="ACL Acknowledgments Header"/>
    <w:basedOn w:val="Normal"/>
    <w:link w:val="ACLAcknowledgmentsHeaderChar"/>
    <w:qFormat/>
    <w:rsid w:val="005748FD"/>
    <w:pPr>
      <w:keepNext/>
      <w:spacing w:before="180" w:after="120" w:line="240" w:lineRule="auto"/>
      <w:outlineLvl w:val="0"/>
    </w:pPr>
    <w:rPr>
      <w:rFonts w:ascii="Times New Roman" w:eastAsia="MS Mincho" w:hAnsi="Times New Roman" w:cs="Times New Roman"/>
      <w:b/>
      <w:bCs/>
      <w:kern w:val="16"/>
      <w:sz w:val="24"/>
      <w:szCs w:val="26"/>
      <w:lang w:eastAsia="de-DE"/>
    </w:rPr>
  </w:style>
  <w:style w:type="character" w:customStyle="1" w:styleId="ACLAcknowledgmentsHeaderChar">
    <w:name w:val="ACL Acknowledgments Header Char"/>
    <w:link w:val="ACLAcknowledgmentsHeader"/>
    <w:rsid w:val="005748FD"/>
    <w:rPr>
      <w:rFonts w:ascii="Times New Roman" w:eastAsia="MS Mincho" w:hAnsi="Times New Roman" w:cs="Times New Roman"/>
      <w:b/>
      <w:bCs/>
      <w:kern w:val="16"/>
      <w:sz w:val="24"/>
      <w:szCs w:val="26"/>
      <w:lang w:eastAsia="de-DE"/>
    </w:rPr>
  </w:style>
  <w:style w:type="paragraph" w:customStyle="1" w:styleId="ACLURLHyperlink">
    <w:name w:val="ACL URL Hyperlink"/>
    <w:basedOn w:val="ACLCode"/>
    <w:next w:val="Normal"/>
    <w:link w:val="ACLURLHyperlinkChar"/>
    <w:qFormat/>
    <w:rsid w:val="005748FD"/>
    <w:pPr>
      <w:ind w:firstLine="0"/>
    </w:pPr>
    <w:rPr>
      <w:color w:val="000090"/>
      <w:spacing w:val="-5"/>
      <w:szCs w:val="20"/>
    </w:rPr>
  </w:style>
  <w:style w:type="character" w:customStyle="1" w:styleId="ACLURLHyperlinkChar">
    <w:name w:val="ACL URL Hyperlink Char"/>
    <w:basedOn w:val="ACLCodeChar"/>
    <w:link w:val="ACLURLHyperlink"/>
    <w:rsid w:val="005748FD"/>
    <w:rPr>
      <w:rFonts w:ascii="Courier New" w:eastAsia="Times New Roman" w:hAnsi="Courier New" w:cs="Times New Roman"/>
      <w:color w:val="000090"/>
      <w:spacing w:val="-5"/>
      <w:kern w:val="16"/>
      <w:sz w:val="20"/>
      <w:szCs w:val="20"/>
      <w:lang w:eastAsia="de-DE"/>
    </w:rPr>
  </w:style>
  <w:style w:type="paragraph" w:customStyle="1" w:styleId="ACLBookJournaltitle">
    <w:name w:val="ACL Book/Journal title"/>
    <w:basedOn w:val="Normal"/>
    <w:qFormat/>
    <w:rsid w:val="005748FD"/>
    <w:pPr>
      <w:spacing w:after="120" w:line="245" w:lineRule="auto"/>
      <w:ind w:left="230" w:hanging="230"/>
    </w:pPr>
    <w:rPr>
      <w:rFonts w:ascii="Times New Roman" w:eastAsia="MS Mincho" w:hAnsi="Times New Roman" w:cs="Times New Roman"/>
      <w:i/>
      <w:kern w:val="16"/>
      <w:sz w:val="20"/>
      <w:szCs w:val="20"/>
      <w:lang w:val="en-US" w:eastAsia="de-DE"/>
      <w14:ligatures w14:val="none"/>
    </w:rPr>
  </w:style>
  <w:style w:type="paragraph" w:customStyle="1" w:styleId="ACLCaption">
    <w:name w:val="ACL Caption"/>
    <w:basedOn w:val="Normal"/>
    <w:link w:val="ACLCaptionChar"/>
    <w:qFormat/>
    <w:rsid w:val="005748FD"/>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5748FD"/>
    <w:rPr>
      <w:rFonts w:ascii="Times New Roman" w:eastAsia="Times New Roman" w:hAnsi="Times New Roman" w:cs="Times New Roman"/>
      <w:sz w:val="20"/>
      <w:szCs w:val="20"/>
      <w:lang w:eastAsia="de-DE"/>
    </w:rPr>
  </w:style>
  <w:style w:type="paragraph" w:customStyle="1" w:styleId="ACLCaptionLong">
    <w:name w:val="ACL Caption Long"/>
    <w:basedOn w:val="ACLCaption"/>
    <w:qFormat/>
    <w:rsid w:val="005748FD"/>
    <w:pPr>
      <w:framePr w:wrap="around"/>
      <w:jc w:val="left"/>
    </w:pPr>
    <w:rPr>
      <w:rFonts w:eastAsia="MS Mincho"/>
      <w:kern w:val="0"/>
      <w:lang w:val="en-US"/>
      <w14:ligatures w14:val="none"/>
    </w:rPr>
  </w:style>
  <w:style w:type="paragraph" w:customStyle="1" w:styleId="ACLCode">
    <w:name w:val="ACL Code"/>
    <w:basedOn w:val="Normal"/>
    <w:link w:val="ACLCodeChar"/>
    <w:qFormat/>
    <w:rsid w:val="005748FD"/>
    <w:pPr>
      <w:spacing w:after="0" w:line="252" w:lineRule="auto"/>
      <w:ind w:firstLine="230"/>
    </w:pPr>
    <w:rPr>
      <w:rFonts w:ascii="Courier New" w:eastAsia="Times New Roman" w:hAnsi="Courier New" w:cs="Times New Roman"/>
      <w:spacing w:val="-2"/>
      <w:kern w:val="16"/>
      <w:sz w:val="20"/>
      <w:lang w:eastAsia="de-DE"/>
    </w:rPr>
  </w:style>
  <w:style w:type="character" w:customStyle="1" w:styleId="ACLCodeChar">
    <w:name w:val="ACL Code Char"/>
    <w:basedOn w:val="DefaultParagraphFont"/>
    <w:link w:val="ACLCode"/>
    <w:rsid w:val="005748FD"/>
    <w:rPr>
      <w:rFonts w:ascii="Courier New" w:eastAsia="Times New Roman" w:hAnsi="Courier New" w:cs="Times New Roman"/>
      <w:spacing w:val="-2"/>
      <w:kern w:val="16"/>
      <w:sz w:val="20"/>
      <w:lang w:eastAsia="de-DE"/>
    </w:rPr>
  </w:style>
  <w:style w:type="paragraph" w:customStyle="1" w:styleId="ACLEmail">
    <w:name w:val="ACL Email"/>
    <w:basedOn w:val="Normal"/>
    <w:qFormat/>
    <w:rsid w:val="005748FD"/>
    <w:pPr>
      <w:spacing w:before="60" w:after="60" w:line="240" w:lineRule="auto"/>
      <w:jc w:val="center"/>
    </w:pPr>
    <w:rPr>
      <w:rFonts w:ascii="Courier New" w:eastAsia="Times New Roman" w:hAnsi="Courier New" w:cs="Times New Roman"/>
      <w:color w:val="0D0D0D"/>
      <w:kern w:val="0"/>
      <w:sz w:val="20"/>
      <w:szCs w:val="20"/>
      <w:lang w:val="en-US" w:eastAsia="de-DE"/>
      <w14:ligatures w14:val="none"/>
    </w:rPr>
  </w:style>
  <w:style w:type="paragraph" w:customStyle="1" w:styleId="ACLEnumeratedList">
    <w:name w:val="ACL Enumerated List"/>
    <w:basedOn w:val="Normal"/>
    <w:link w:val="ACLEnumeratedListChar"/>
    <w:qFormat/>
    <w:rsid w:val="005748FD"/>
    <w:pPr>
      <w:numPr>
        <w:numId w:val="2"/>
      </w:numPr>
      <w:spacing w:after="200" w:line="245" w:lineRule="auto"/>
      <w:ind w:left="936" w:hanging="360"/>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5748FD"/>
    <w:rPr>
      <w:rFonts w:ascii="Times New Roman" w:eastAsia="MS Mincho" w:hAnsi="Times New Roman" w:cs="Times New Roman"/>
      <w:kern w:val="16"/>
      <w:lang w:eastAsia="tr-TR"/>
    </w:rPr>
  </w:style>
  <w:style w:type="paragraph" w:customStyle="1" w:styleId="ACLEquationLine">
    <w:name w:val="ACL EquationLine"/>
    <w:basedOn w:val="Normal"/>
    <w:qFormat/>
    <w:rsid w:val="005748FD"/>
    <w:pPr>
      <w:tabs>
        <w:tab w:val="center" w:pos="2340"/>
        <w:tab w:val="right" w:pos="4500"/>
      </w:tabs>
      <w:spacing w:before="120" w:after="120" w:line="240" w:lineRule="auto"/>
      <w:jc w:val="center"/>
    </w:pPr>
    <w:rPr>
      <w:rFonts w:ascii="Times New Roman" w:eastAsia="Times New Roman" w:hAnsi="Times New Roman" w:cs="Times New Roman"/>
      <w:bCs/>
      <w:kern w:val="0"/>
      <w:sz w:val="20"/>
      <w:szCs w:val="20"/>
      <w:lang w:val="en-US" w:eastAsia="de-DE"/>
      <w14:ligatures w14:val="none"/>
    </w:rPr>
  </w:style>
  <w:style w:type="character" w:customStyle="1" w:styleId="ACLFootnoteReference">
    <w:name w:val="ACL Footnote Reference"/>
    <w:qFormat/>
    <w:rsid w:val="005748FD"/>
    <w:rPr>
      <w:kern w:val="16"/>
      <w:vertAlign w:val="superscript"/>
    </w:rPr>
  </w:style>
  <w:style w:type="paragraph" w:customStyle="1" w:styleId="ACLFootnoteText">
    <w:name w:val="ACL Footnote Text"/>
    <w:basedOn w:val="Normal"/>
    <w:qFormat/>
    <w:rsid w:val="005748FD"/>
    <w:pPr>
      <w:spacing w:after="0" w:line="240" w:lineRule="auto"/>
    </w:pPr>
    <w:rPr>
      <w:rFonts w:ascii="Times New Roman" w:eastAsia="Times New Roman" w:hAnsi="Times New Roman" w:cs="Times New Roman"/>
      <w:kern w:val="0"/>
      <w:sz w:val="18"/>
      <w:szCs w:val="20"/>
      <w:lang w:val="en-US" w:eastAsia="de-DE"/>
      <w14:ligatures w14:val="none"/>
    </w:rPr>
  </w:style>
  <w:style w:type="paragraph" w:customStyle="1" w:styleId="ACLHyperlink">
    <w:name w:val="ACL Hyperlink"/>
    <w:basedOn w:val="Normal"/>
    <w:link w:val="ACLHyperlinkChar"/>
    <w:qFormat/>
    <w:rsid w:val="005748FD"/>
    <w:pPr>
      <w:spacing w:after="0" w:line="252" w:lineRule="auto"/>
    </w:pPr>
    <w:rPr>
      <w:rFonts w:ascii="Times New Roman" w:eastAsia="Times New Roman" w:hAnsi="Times New Roman" w:cs="Times New Roman"/>
      <w:color w:val="000090"/>
      <w:spacing w:val="-2"/>
      <w:kern w:val="16"/>
      <w:lang w:eastAsia="de-DE"/>
    </w:rPr>
  </w:style>
  <w:style w:type="character" w:customStyle="1" w:styleId="ACLHyperlinkChar">
    <w:name w:val="ACL Hyperlink Char"/>
    <w:basedOn w:val="DefaultParagraphFont"/>
    <w:link w:val="ACLHyperlink"/>
    <w:rsid w:val="005748FD"/>
    <w:rPr>
      <w:rFonts w:ascii="Times New Roman" w:eastAsia="Times New Roman" w:hAnsi="Times New Roman" w:cs="Times New Roman"/>
      <w:color w:val="000090"/>
      <w:spacing w:val="-2"/>
      <w:kern w:val="16"/>
      <w:lang w:eastAsia="de-DE"/>
    </w:rPr>
  </w:style>
  <w:style w:type="paragraph" w:customStyle="1" w:styleId="ACLIndent">
    <w:name w:val="ACL Indent"/>
    <w:basedOn w:val="Normal"/>
    <w:qFormat/>
    <w:rsid w:val="005748FD"/>
    <w:pPr>
      <w:spacing w:after="0" w:line="252" w:lineRule="auto"/>
      <w:ind w:firstLine="230"/>
    </w:pPr>
    <w:rPr>
      <w:rFonts w:ascii="Times New Roman" w:eastAsia="Times New Roman" w:hAnsi="Times New Roman" w:cs="Times New Roman"/>
      <w:spacing w:val="-2"/>
      <w:kern w:val="16"/>
      <w:lang w:val="en-US" w:eastAsia="de-DE"/>
      <w14:ligatures w14:val="none"/>
    </w:rPr>
  </w:style>
  <w:style w:type="paragraph" w:customStyle="1" w:styleId="ACLText">
    <w:name w:val="ACL Text"/>
    <w:basedOn w:val="Normal"/>
    <w:next w:val="Normal"/>
    <w:link w:val="ACLTextChar"/>
    <w:qFormat/>
    <w:rsid w:val="00DC6C52"/>
    <w:pPr>
      <w:spacing w:after="0" w:line="252" w:lineRule="auto"/>
    </w:pPr>
    <w:rPr>
      <w:rFonts w:ascii="Times New Roman" w:eastAsia="Times New Roman" w:hAnsi="Times New Roman" w:cs="Times New Roman"/>
      <w:spacing w:val="-2"/>
      <w:kern w:val="16"/>
      <w:lang w:eastAsia="de-DE"/>
    </w:rPr>
  </w:style>
  <w:style w:type="character" w:customStyle="1" w:styleId="ACLTextChar">
    <w:name w:val="ACL Text Char"/>
    <w:link w:val="ACLText"/>
    <w:rsid w:val="00DC6C52"/>
    <w:rPr>
      <w:rFonts w:ascii="Times New Roman" w:eastAsia="Times New Roman" w:hAnsi="Times New Roman" w:cs="Times New Roman"/>
      <w:spacing w:val="-2"/>
      <w:kern w:val="16"/>
      <w:lang w:eastAsia="de-DE"/>
    </w:rPr>
  </w:style>
  <w:style w:type="paragraph" w:customStyle="1" w:styleId="ACLTitle">
    <w:name w:val="ACL Title"/>
    <w:basedOn w:val="Normal"/>
    <w:qFormat/>
    <w:rsid w:val="005748FD"/>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eastAsiaTheme="minorEastAsia" w:hAnsi="Times New Roman" w:cs="Times New Roman"/>
      <w:b/>
      <w:kern w:val="0"/>
      <w:sz w:val="30"/>
      <w:szCs w:val="30"/>
      <w:lang w:val="en-US"/>
      <w14:ligatures w14:val="none"/>
    </w:rPr>
  </w:style>
  <w:style w:type="paragraph" w:customStyle="1" w:styleId="ACLSubmissionRuler">
    <w:name w:val="ACL Submission Ruler"/>
    <w:basedOn w:val="Normal"/>
    <w:autoRedefine/>
    <w:qFormat/>
    <w:rsid w:val="005748FD"/>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kern w:val="0"/>
      <w:sz w:val="24"/>
      <w:szCs w:val="26"/>
      <w:lang w:val="en-US" w:eastAsia="de-DE"/>
      <w14:ligatures w14:val="none"/>
    </w:rPr>
  </w:style>
  <w:style w:type="paragraph" w:customStyle="1" w:styleId="ACLAcknowledgments">
    <w:name w:val="ACL Acknowledgments"/>
    <w:basedOn w:val="Normal"/>
    <w:link w:val="ACLAcknowledgmentsChar"/>
    <w:qFormat/>
    <w:rsid w:val="00DC6C52"/>
    <w:pPr>
      <w:keepNext/>
      <w:spacing w:before="180" w:after="120" w:line="240" w:lineRule="auto"/>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DC6C5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DC6C52"/>
    <w:pPr>
      <w:spacing w:after="0" w:line="240" w:lineRule="auto"/>
      <w:jc w:val="center"/>
    </w:pPr>
    <w:rPr>
      <w:rFonts w:ascii="Times New Roman" w:eastAsia="MS Mincho" w:hAnsi="Times New Roman" w:cs="Times New Roman"/>
      <w:kern w:val="0"/>
      <w:sz w:val="24"/>
      <w:szCs w:val="20"/>
      <w:lang w:val="en-US" w:eastAsia="de-DE"/>
      <w14:ligatures w14:val="none"/>
    </w:rPr>
  </w:style>
  <w:style w:type="paragraph" w:customStyle="1" w:styleId="ACLBulletedList">
    <w:name w:val="ACL Bulleted List"/>
    <w:basedOn w:val="Normal"/>
    <w:link w:val="ACLBulletedListChar"/>
    <w:qFormat/>
    <w:rsid w:val="00DC6C52"/>
    <w:pPr>
      <w:numPr>
        <w:numId w:val="1"/>
      </w:numPr>
      <w:tabs>
        <w:tab w:val="left" w:pos="450"/>
      </w:tabs>
      <w:spacing w:before="200" w:after="200" w:line="245" w:lineRule="auto"/>
      <w:ind w:left="720"/>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DC6C52"/>
    <w:rPr>
      <w:rFonts w:ascii="Times New Roman" w:eastAsia="MS Mincho" w:hAnsi="Times New Roman" w:cs="Times New Roman"/>
      <w:kern w:val="16"/>
      <w:szCs w:val="20"/>
      <w:lang w:eastAsia="de-DE"/>
    </w:rPr>
  </w:style>
  <w:style w:type="paragraph" w:customStyle="1" w:styleId="ACLReferencesHeader">
    <w:name w:val="ACL References Header"/>
    <w:basedOn w:val="Normal"/>
    <w:link w:val="ACLReferencesHeaderChar"/>
    <w:qFormat/>
    <w:rsid w:val="00DC6C52"/>
    <w:pPr>
      <w:keepNext/>
      <w:spacing w:before="180" w:after="120" w:line="240" w:lineRule="auto"/>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DC6C52"/>
    <w:rPr>
      <w:rFonts w:ascii="Times New Roman" w:eastAsia="MS Mincho" w:hAnsi="Times New Roman" w:cs="Times New Roman"/>
      <w:b/>
      <w:bCs/>
      <w:kern w:val="16"/>
      <w:sz w:val="24"/>
      <w:szCs w:val="26"/>
      <w:lang w:eastAsia="de-DE"/>
    </w:rPr>
  </w:style>
  <w:style w:type="paragraph" w:customStyle="1" w:styleId="ACLReferencesText">
    <w:name w:val="ACL References Text"/>
    <w:basedOn w:val="Normal"/>
    <w:link w:val="ACLReferencesTextChar"/>
    <w:qFormat/>
    <w:rsid w:val="00DC6C52"/>
    <w:pPr>
      <w:spacing w:after="120" w:line="245" w:lineRule="auto"/>
      <w:ind w:left="230" w:hanging="230"/>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DC6C52"/>
    <w:rPr>
      <w:rFonts w:ascii="Times New Roman" w:eastAsia="MS Mincho" w:hAnsi="Times New Roman" w:cs="Times New Roman"/>
      <w:kern w:val="16"/>
      <w:sz w:val="20"/>
      <w:szCs w:val="20"/>
      <w:lang w:eastAsia="de-DE"/>
    </w:rPr>
  </w:style>
  <w:style w:type="paragraph" w:customStyle="1" w:styleId="ACLRulerLeft">
    <w:name w:val="ACL Ruler Left"/>
    <w:basedOn w:val="Normal"/>
    <w:qFormat/>
    <w:rsid w:val="00DC6C52"/>
    <w:pPr>
      <w:spacing w:after="90" w:line="252" w:lineRule="auto"/>
      <w:ind w:left="144"/>
    </w:pPr>
    <w:rPr>
      <w:rFonts w:ascii="Arial Bold" w:eastAsia="Times New Roman" w:hAnsi="Arial Bold" w:cs="Arial"/>
      <w:b/>
      <w:bCs/>
      <w:color w:val="808080" w:themeColor="background1" w:themeShade="80"/>
      <w:kern w:val="0"/>
      <w:sz w:val="16"/>
      <w:szCs w:val="16"/>
      <w:lang w:val="en-US" w:eastAsia="de-DE"/>
      <w14:ligatures w14:val="none"/>
    </w:rPr>
  </w:style>
  <w:style w:type="paragraph" w:customStyle="1" w:styleId="ACLRulerRight">
    <w:name w:val="ACL Ruler Right"/>
    <w:basedOn w:val="ACLRulerLeft"/>
    <w:qFormat/>
    <w:rsid w:val="00DC6C52"/>
    <w:pPr>
      <w:ind w:left="0" w:right="144"/>
      <w:jc w:val="right"/>
    </w:pPr>
  </w:style>
  <w:style w:type="paragraph" w:customStyle="1" w:styleId="ACLSection">
    <w:name w:val="ACL Section"/>
    <w:basedOn w:val="Heading1"/>
    <w:next w:val="ACLText"/>
    <w:link w:val="ACLSectionChar"/>
    <w:qFormat/>
    <w:rsid w:val="00DC6C52"/>
    <w:pPr>
      <w:keepLines w:val="0"/>
      <w:numPr>
        <w:numId w:val="0"/>
      </w:numPr>
      <w:tabs>
        <w:tab w:val="num" w:pos="397"/>
      </w:tabs>
      <w:spacing w:after="180" w:line="240" w:lineRule="auto"/>
      <w:ind w:left="397" w:hanging="397"/>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DC6C5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DC6C52"/>
    <w:rPr>
      <w:rFonts w:asciiTheme="majorHAnsi" w:eastAsiaTheme="majorEastAsia" w:hAnsiTheme="majorHAnsi" w:cstheme="majorBidi"/>
      <w:color w:val="2F5496" w:themeColor="accent1" w:themeShade="BF"/>
      <w:sz w:val="32"/>
      <w:szCs w:val="32"/>
    </w:rPr>
  </w:style>
  <w:style w:type="paragraph" w:customStyle="1" w:styleId="ACLSubmissionPageNumbering">
    <w:name w:val="ACL Submission Page Numbering"/>
    <w:basedOn w:val="Normal"/>
    <w:link w:val="ACLSubmissionPageNumberingChar"/>
    <w:qFormat/>
    <w:rsid w:val="00DC6C5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DC6C52"/>
    <w:rPr>
      <w:rFonts w:ascii="Times New Roman" w:eastAsia="Times New Roman" w:hAnsi="Times New Roman" w:cs="Times New Roman"/>
      <w:szCs w:val="20"/>
      <w:lang w:eastAsia="de-DE"/>
    </w:rPr>
  </w:style>
  <w:style w:type="paragraph" w:customStyle="1" w:styleId="ACLSubsection">
    <w:name w:val="ACL Subsection"/>
    <w:basedOn w:val="Heading2"/>
    <w:next w:val="ACLText"/>
    <w:link w:val="ACLSubsectionChar"/>
    <w:qFormat/>
    <w:rsid w:val="00DC6C52"/>
    <w:pPr>
      <w:keepLines w:val="0"/>
      <w:numPr>
        <w:ilvl w:val="0"/>
        <w:numId w:val="0"/>
      </w:numPr>
      <w:tabs>
        <w:tab w:val="num" w:pos="567"/>
      </w:tabs>
      <w:spacing w:before="180" w:after="120" w:line="240" w:lineRule="auto"/>
      <w:ind w:left="562" w:hanging="562"/>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DC6C5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rsid w:val="00DC6C52"/>
    <w:rPr>
      <w:rFonts w:asciiTheme="majorHAnsi" w:eastAsiaTheme="majorEastAsia" w:hAnsiTheme="majorHAnsi" w:cstheme="majorBidi"/>
      <w:color w:val="2F5496" w:themeColor="accent1" w:themeShade="BF"/>
      <w:sz w:val="26"/>
      <w:szCs w:val="26"/>
    </w:rPr>
  </w:style>
  <w:style w:type="paragraph" w:customStyle="1" w:styleId="ACLTextFirstLine">
    <w:name w:val="ACL Text First Line"/>
    <w:basedOn w:val="ACLText"/>
    <w:link w:val="ACLTextFirstLineChar"/>
    <w:qFormat/>
    <w:rsid w:val="00DC6C52"/>
    <w:pPr>
      <w:ind w:firstLine="230"/>
    </w:pPr>
  </w:style>
  <w:style w:type="character" w:customStyle="1" w:styleId="ACLTextFirstLineChar">
    <w:name w:val="ACL Text First Line Char"/>
    <w:basedOn w:val="ACLTextChar"/>
    <w:link w:val="ACLTextFirstLine"/>
    <w:rsid w:val="00DC6C52"/>
    <w:rPr>
      <w:rFonts w:ascii="Times New Roman" w:eastAsia="Times New Roman" w:hAnsi="Times New Roman" w:cs="Times New Roman"/>
      <w:spacing w:val="-2"/>
      <w:kern w:val="16"/>
      <w:lang w:eastAsia="de-DE"/>
    </w:rPr>
  </w:style>
  <w:style w:type="paragraph" w:styleId="Caption">
    <w:name w:val="caption"/>
    <w:basedOn w:val="ACLCaption"/>
    <w:next w:val="ACLText"/>
    <w:qFormat/>
    <w:rsid w:val="00DC6C52"/>
    <w:pPr>
      <w:framePr w:wrap="around"/>
      <w:spacing w:before="200" w:after="200" w:line="252" w:lineRule="auto"/>
    </w:pPr>
    <w:rPr>
      <w:bCs/>
      <w:color w:val="000000" w:themeColor="text1"/>
      <w:kern w:val="0"/>
      <w:szCs w:val="18"/>
      <w:lang w:val="en-US"/>
      <w14:ligatures w14:val="none"/>
    </w:rPr>
  </w:style>
  <w:style w:type="character" w:styleId="FootnoteReference">
    <w:name w:val="footnote reference"/>
    <w:semiHidden/>
    <w:rsid w:val="00DC6C52"/>
    <w:rPr>
      <w:vertAlign w:val="superscript"/>
    </w:rPr>
  </w:style>
  <w:style w:type="paragraph" w:customStyle="1" w:styleId="ACLSubmissionConfidentialityHeader">
    <w:name w:val="ACL Submission Confidentiality Header"/>
    <w:basedOn w:val="Normal"/>
    <w:link w:val="ACLSubmissionConfidentialityHeaderChar"/>
    <w:qFormat/>
    <w:rsid w:val="00DC6C52"/>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C6C52"/>
    <w:rPr>
      <w:rFonts w:ascii="Arial" w:eastAsia="Times New Roman" w:hAnsi="Arial" w:cs="Arial"/>
      <w:b/>
      <w:spacing w:val="-2"/>
      <w:kern w:val="16"/>
      <w:sz w:val="18"/>
      <w:szCs w:val="20"/>
      <w:lang w:eastAsia="de-DE"/>
    </w:rPr>
  </w:style>
  <w:style w:type="paragraph" w:styleId="TOCHeading">
    <w:name w:val="TOC Heading"/>
    <w:basedOn w:val="Heading1"/>
    <w:next w:val="Normal"/>
    <w:uiPriority w:val="39"/>
    <w:unhideWhenUsed/>
    <w:qFormat/>
    <w:rsid w:val="00A64C4A"/>
    <w:pPr>
      <w:numPr>
        <w:numId w:val="0"/>
      </w:numPr>
      <w:outlineLvl w:val="9"/>
    </w:pPr>
    <w:rPr>
      <w:kern w:val="0"/>
      <w:lang w:val="en-US"/>
      <w14:ligatures w14:val="none"/>
    </w:rPr>
  </w:style>
  <w:style w:type="paragraph" w:styleId="TOC1">
    <w:name w:val="toc 1"/>
    <w:basedOn w:val="Normal"/>
    <w:next w:val="Normal"/>
    <w:autoRedefine/>
    <w:uiPriority w:val="39"/>
    <w:unhideWhenUsed/>
    <w:rsid w:val="00A64C4A"/>
    <w:pPr>
      <w:spacing w:after="100"/>
    </w:pPr>
  </w:style>
  <w:style w:type="character" w:styleId="Hyperlink">
    <w:name w:val="Hyperlink"/>
    <w:basedOn w:val="DefaultParagraphFont"/>
    <w:uiPriority w:val="99"/>
    <w:unhideWhenUsed/>
    <w:rsid w:val="00A64C4A"/>
    <w:rPr>
      <w:color w:val="0563C1" w:themeColor="hyperlink"/>
      <w:u w:val="single"/>
    </w:rPr>
  </w:style>
  <w:style w:type="paragraph" w:styleId="ListParagraph">
    <w:name w:val="List Paragraph"/>
    <w:basedOn w:val="Normal"/>
    <w:uiPriority w:val="34"/>
    <w:qFormat/>
    <w:rsid w:val="00273C35"/>
    <w:pPr>
      <w:ind w:left="720"/>
      <w:contextualSpacing/>
    </w:pPr>
  </w:style>
  <w:style w:type="paragraph" w:styleId="TOC2">
    <w:name w:val="toc 2"/>
    <w:basedOn w:val="Normal"/>
    <w:next w:val="Normal"/>
    <w:autoRedefine/>
    <w:uiPriority w:val="39"/>
    <w:unhideWhenUsed/>
    <w:rsid w:val="00682821"/>
    <w:pPr>
      <w:spacing w:after="100"/>
      <w:ind w:left="220"/>
    </w:pPr>
  </w:style>
  <w:style w:type="table" w:styleId="TableGrid">
    <w:name w:val="Table Grid"/>
    <w:basedOn w:val="TableNormal"/>
    <w:uiPriority w:val="39"/>
    <w:rsid w:val="00682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12907">
      <w:bodyDiv w:val="1"/>
      <w:marLeft w:val="0"/>
      <w:marRight w:val="0"/>
      <w:marTop w:val="0"/>
      <w:marBottom w:val="0"/>
      <w:divBdr>
        <w:top w:val="none" w:sz="0" w:space="0" w:color="auto"/>
        <w:left w:val="none" w:sz="0" w:space="0" w:color="auto"/>
        <w:bottom w:val="none" w:sz="0" w:space="0" w:color="auto"/>
        <w:right w:val="none" w:sz="0" w:space="0" w:color="auto"/>
      </w:divBdr>
    </w:div>
    <w:div w:id="860506908">
      <w:bodyDiv w:val="1"/>
      <w:marLeft w:val="0"/>
      <w:marRight w:val="0"/>
      <w:marTop w:val="0"/>
      <w:marBottom w:val="0"/>
      <w:divBdr>
        <w:top w:val="none" w:sz="0" w:space="0" w:color="auto"/>
        <w:left w:val="none" w:sz="0" w:space="0" w:color="auto"/>
        <w:bottom w:val="none" w:sz="0" w:space="0" w:color="auto"/>
        <w:right w:val="none" w:sz="0" w:space="0" w:color="auto"/>
      </w:divBdr>
    </w:div>
    <w:div w:id="1012607866">
      <w:bodyDiv w:val="1"/>
      <w:marLeft w:val="0"/>
      <w:marRight w:val="0"/>
      <w:marTop w:val="0"/>
      <w:marBottom w:val="0"/>
      <w:divBdr>
        <w:top w:val="none" w:sz="0" w:space="0" w:color="auto"/>
        <w:left w:val="none" w:sz="0" w:space="0" w:color="auto"/>
        <w:bottom w:val="none" w:sz="0" w:space="0" w:color="auto"/>
        <w:right w:val="none" w:sz="0" w:space="0" w:color="auto"/>
      </w:divBdr>
      <w:divsChild>
        <w:div w:id="1259945257">
          <w:marLeft w:val="0"/>
          <w:marRight w:val="0"/>
          <w:marTop w:val="0"/>
          <w:marBottom w:val="0"/>
          <w:divBdr>
            <w:top w:val="none" w:sz="0" w:space="0" w:color="auto"/>
            <w:left w:val="none" w:sz="0" w:space="0" w:color="auto"/>
            <w:bottom w:val="none" w:sz="0" w:space="0" w:color="auto"/>
            <w:right w:val="none" w:sz="0" w:space="0" w:color="auto"/>
          </w:divBdr>
        </w:div>
        <w:div w:id="1857767129">
          <w:marLeft w:val="0"/>
          <w:marRight w:val="0"/>
          <w:marTop w:val="0"/>
          <w:marBottom w:val="0"/>
          <w:divBdr>
            <w:top w:val="none" w:sz="0" w:space="0" w:color="auto"/>
            <w:left w:val="none" w:sz="0" w:space="0" w:color="auto"/>
            <w:bottom w:val="none" w:sz="0" w:space="0" w:color="auto"/>
            <w:right w:val="none" w:sz="0" w:space="0" w:color="auto"/>
          </w:divBdr>
        </w:div>
        <w:div w:id="2145729095">
          <w:marLeft w:val="0"/>
          <w:marRight w:val="0"/>
          <w:marTop w:val="0"/>
          <w:marBottom w:val="0"/>
          <w:divBdr>
            <w:top w:val="none" w:sz="0" w:space="0" w:color="auto"/>
            <w:left w:val="none" w:sz="0" w:space="0" w:color="auto"/>
            <w:bottom w:val="none" w:sz="0" w:space="0" w:color="auto"/>
            <w:right w:val="none" w:sz="0" w:space="0" w:color="auto"/>
          </w:divBdr>
        </w:div>
      </w:divsChild>
    </w:div>
    <w:div w:id="10695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C575-013C-4ACF-8966-E5DBFEDD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6</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AAIRA TAUSEEF</dc:creator>
  <cp:keywords/>
  <dc:description/>
  <cp:lastModifiedBy>AAIRA TAUSEEF</cp:lastModifiedBy>
  <cp:revision>6</cp:revision>
  <dcterms:created xsi:type="dcterms:W3CDTF">2024-02-01T10:48:00Z</dcterms:created>
  <dcterms:modified xsi:type="dcterms:W3CDTF">2024-02-01T18:49:00Z</dcterms:modified>
</cp:coreProperties>
</file>