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057"/>
          <w:sz w:val="36"/>
          <w:szCs w:val="36"/>
        </w:rPr>
        <w:t xml:space="preserve">HAAG — Faculty Relations</w:t>
      </w:r>
    </w:p>
    <w:p>
      <w:pPr>
        <w:spacing w:after="80" w:before="0"/>
        <w:jc w:val="center"/>
      </w:pPr>
      <w:r>
        <w:rPr>
          <w:rFonts w:ascii="Arial" w:cs="Arial" w:eastAsia="Arial" w:hAnsi="Arial"/>
          <w:b/>
          <w:bCs/>
          <w:color w:val="3A6B8A"/>
          <w:sz w:val="28"/>
          <w:szCs w:val="28"/>
        </w:rPr>
        <w:t xml:space="preserve">Unit Meetings &amp; Collaboration Initiative</w:t>
      </w:r>
    </w:p>
    <w:p>
      <w:pPr>
        <w:spacing w:after="80" w:before="0"/>
        <w:jc w:val="center"/>
      </w:pPr>
      <w:r>
        <w:rPr>
          <w:rFonts w:ascii="Arial" w:cs="Arial" w:eastAsia="Arial" w:hAnsi="Arial"/>
          <w:color w:val="666666"/>
          <w:sz w:val="22"/>
          <w:szCs w:val="22"/>
        </w:rPr>
        <w:t xml:space="preserve">Scoping Document — Summer 2026</w:t>
      </w:r>
    </w:p>
    <w:p>
      <w:pPr>
        <w:spacing w:after="320" w:before="0"/>
        <w:jc w:val="center"/>
      </w:pPr>
      <w:r>
        <w:rPr>
          <w:rFonts w:ascii="Arial" w:cs="Arial" w:eastAsia="Arial" w:hAnsi="Arial"/>
          <w:i/>
          <w:iCs/>
          <w:color w:val="888888"/>
          <w:sz w:val="20"/>
          <w:szCs w:val="20"/>
        </w:rPr>
        <w:t xml:space="preserve">Human Augmented Analytics Group (HAAG) | Georgia Institute of Technology</w:t>
      </w:r>
    </w:p>
    <w:p>
      <w:pPr>
        <w:pBdr>
          <w:bottom w:val="single" w:color="2E4057" w:sz="6" w:space="1"/>
        </w:pBdr>
        <w:spacing w:after="320" w:before="0"/>
      </w:pPr>
      <w:r>
        <w:t xml:space="preserve"/>
      </w:r>
    </w:p>
    <w:p>
      <w:pPr>
        <w:pStyle w:val="Heading1"/>
        <w:spacing w:after="160" w:before="320"/>
      </w:pPr>
      <w:r>
        <w:rPr>
          <w:rFonts w:ascii="Arial" w:cs="Arial" w:eastAsia="Arial" w:hAnsi="Arial"/>
          <w:b/>
          <w:bCs/>
          <w:color w:val="2E4057"/>
          <w:sz w:val="28"/>
          <w:szCs w:val="28"/>
        </w:rPr>
        <w:t xml:space="preserve">1. Problem Statement</w:t>
      </w:r>
    </w:p>
    <w:p>
      <w:pPr>
        <w:spacing w:after="80" w:before="80"/>
      </w:pPr>
      <w:r>
        <w:rPr>
          <w:rFonts w:ascii="Arial" w:cs="Arial" w:eastAsia="Arial" w:hAnsi="Arial"/>
          <w:sz w:val="22"/>
          <w:szCs w:val="22"/>
        </w:rPr>
        <w:t xml:space="preserve">HAAG currently requires researchers to attend at least 1–2 unit meetings per semester, but no formal system exists to support, structure, or enforce that requirement. The mandate is in place but the infrastructure behind it is not. As a result, attendance is inconsistent, engagement is low, and the unit meeting space is not functioning as the collaborative entry point it was designed to be.</w:t>
      </w:r>
    </w:p>
    <w:p>
      <w:pPr>
        <w:spacing w:after="80" w:before="80"/>
      </w:pPr>
      <w:r>
        <w:t xml:space="preserve"/>
      </w:r>
    </w:p>
    <w:p>
      <w:pPr>
        <w:pStyle w:val="Heading2"/>
        <w:spacing w:after="120" w:before="240"/>
      </w:pPr>
      <w:r>
        <w:rPr>
          <w:rFonts w:ascii="Arial" w:cs="Arial" w:eastAsia="Arial" w:hAnsi="Arial"/>
          <w:b/>
          <w:bCs/>
          <w:color w:val="3A6B8A"/>
          <w:sz w:val="24"/>
          <w:szCs w:val="24"/>
        </w:rPr>
        <w:t xml:space="preserve">Unit Meetings</w:t>
      </w:r>
    </w:p>
    <w:p>
      <w:pPr>
        <w:pStyle w:val="ListParagraph"/>
        <w:numPr>
          <w:ilvl w:val="0"/>
          <w:numId w:val="2"/>
        </w:numPr>
        <w:spacing w:after="60" w:before="60"/>
      </w:pPr>
      <w:r>
        <w:rPr>
          <w:rFonts w:ascii="Arial" w:cs="Arial" w:eastAsia="Arial" w:hAnsi="Arial"/>
          <w:sz w:val="22"/>
          <w:szCs w:val="22"/>
        </w:rPr>
        <w:t xml:space="preserve">The attendance requirement exists but lacks enforcement — channels may have 40–50 members but only 20–30 actively post or show up</w:t>
      </w:r>
    </w:p>
    <w:p>
      <w:pPr>
        <w:pStyle w:val="ListParagraph"/>
        <w:numPr>
          <w:ilvl w:val="0"/>
          <w:numId w:val="2"/>
        </w:numPr>
        <w:spacing w:after="60" w:before="60"/>
      </w:pPr>
      <w:r>
        <w:rPr>
          <w:rFonts w:ascii="Arial" w:cs="Arial" w:eastAsia="Arial" w:hAnsi="Arial"/>
          <w:sz w:val="22"/>
          <w:szCs w:val="22"/>
        </w:rPr>
        <w:t xml:space="preserve">There is no facilitation guide or defined agenda structure for unit leaders, so meeting quality varies widely</w:t>
      </w:r>
    </w:p>
    <w:p>
      <w:pPr>
        <w:pStyle w:val="ListParagraph"/>
        <w:numPr>
          <w:ilvl w:val="0"/>
          <w:numId w:val="2"/>
        </w:numPr>
        <w:spacing w:after="60" w:before="60"/>
      </w:pPr>
      <w:r>
        <w:rPr>
          <w:rFonts w:ascii="Arial" w:cs="Arial" w:eastAsia="Arial" w:hAnsi="Arial"/>
          <w:sz w:val="22"/>
          <w:szCs w:val="22"/>
        </w:rPr>
        <w:t xml:space="preserve">Researchers and admin are unlikely to attend unless explicitly told to — the expectation needs active reinforcement</w:t>
      </w:r>
    </w:p>
    <w:p>
      <w:pPr>
        <w:pStyle w:val="ListParagraph"/>
        <w:numPr>
          <w:ilvl w:val="0"/>
          <w:numId w:val="2"/>
        </w:numPr>
        <w:spacing w:after="60" w:before="60"/>
      </w:pPr>
      <w:r>
        <w:rPr>
          <w:rFonts w:ascii="Arial" w:cs="Arial" w:eastAsia="Arial" w:hAnsi="Arial"/>
          <w:sz w:val="22"/>
          <w:szCs w:val="22"/>
        </w:rPr>
        <w:t xml:space="preserve">Unit meetings are meant to serve as an entry point for cross-team collaboration, but are not currently functioning that way</w:t>
      </w:r>
    </w:p>
    <w:p>
      <w:pPr>
        <w:spacing w:after="80" w:before="80"/>
      </w:pPr>
      <w:r>
        <w:t xml:space="preserve"/>
      </w:r>
    </w:p>
    <w:p>
      <w:pPr>
        <w:pStyle w:val="Heading2"/>
        <w:spacing w:after="120" w:before="240"/>
      </w:pPr>
      <w:r>
        <w:rPr>
          <w:rFonts w:ascii="Arial" w:cs="Arial" w:eastAsia="Arial" w:hAnsi="Arial"/>
          <w:b/>
          <w:bCs/>
          <w:color w:val="3A6B8A"/>
          <w:sz w:val="24"/>
          <w:szCs w:val="24"/>
        </w:rPr>
        <w:t xml:space="preserve">Slack Engagement</w:t>
      </w:r>
    </w:p>
    <w:p>
      <w:pPr>
        <w:pStyle w:val="ListParagraph"/>
        <w:numPr>
          <w:ilvl w:val="0"/>
          <w:numId w:val="2"/>
        </w:numPr>
        <w:spacing w:after="60" w:before="60"/>
      </w:pPr>
      <w:r>
        <w:rPr>
          <w:rFonts w:ascii="Arial" w:cs="Arial" w:eastAsia="Arial" w:hAnsi="Arial"/>
          <w:sz w:val="22"/>
          <w:szCs w:val="22"/>
        </w:rPr>
        <w:t xml:space="preserve">Activity across Slack channels is low and uneven — engagement depends on which faculty is involved rather than any organizational standard</w:t>
      </w:r>
    </w:p>
    <w:p>
      <w:pPr>
        <w:pStyle w:val="ListParagraph"/>
        <w:numPr>
          <w:ilvl w:val="0"/>
          <w:numId w:val="2"/>
        </w:numPr>
        <w:spacing w:after="60" w:before="60"/>
      </w:pPr>
      <w:r>
        <w:rPr>
          <w:rFonts w:ascii="Arial" w:cs="Arial" w:eastAsia="Arial" w:hAnsi="Arial"/>
          <w:sz w:val="22"/>
          <w:szCs w:val="22"/>
        </w:rPr>
        <w:t xml:space="preserve">Many channels are effectively dead while a small number carry most of the activity</w:t>
      </w:r>
    </w:p>
    <w:p>
      <w:pPr>
        <w:pStyle w:val="ListParagraph"/>
        <w:numPr>
          <w:ilvl w:val="0"/>
          <w:numId w:val="2"/>
        </w:numPr>
        <w:spacing w:after="60" w:before="60"/>
      </w:pPr>
      <w:r>
        <w:rPr>
          <w:rFonts w:ascii="Arial" w:cs="Arial" w:eastAsia="Arial" w:hAnsi="Arial"/>
          <w:sz w:val="22"/>
          <w:szCs w:val="22"/>
        </w:rPr>
        <w:t xml:space="preserve">Researchers default to one or two familiar channels instead of using the full Slack infrastructure</w:t>
      </w:r>
    </w:p>
    <w:p>
      <w:pPr>
        <w:pStyle w:val="ListParagraph"/>
        <w:numPr>
          <w:ilvl w:val="0"/>
          <w:numId w:val="2"/>
        </w:numPr>
        <w:spacing w:after="60" w:before="60"/>
      </w:pPr>
      <w:r>
        <w:rPr>
          <w:rFonts w:ascii="Arial" w:cs="Arial" w:eastAsia="Arial" w:hAnsi="Arial"/>
          <w:sz w:val="22"/>
          <w:szCs w:val="22"/>
        </w:rPr>
        <w:t xml:space="preserve">The environment feels high-stakes rather than casual — people are hesitant to post, which suppresses activity further</w:t>
      </w:r>
    </w:p>
    <w:p>
      <w:pPr>
        <w:pStyle w:val="ListParagraph"/>
        <w:numPr>
          <w:ilvl w:val="0"/>
          <w:numId w:val="2"/>
        </w:numPr>
        <w:spacing w:after="60" w:before="60"/>
      </w:pPr>
      <w:r>
        <w:rPr>
          <w:rFonts w:ascii="Arial" w:cs="Arial" w:eastAsia="Arial" w:hAnsi="Arial"/>
          <w:sz w:val="22"/>
          <w:szCs w:val="22"/>
        </w:rPr>
        <w:t xml:space="preserve">No audit has been done to compare active vs. inactive channels or develop a revival strategy</w:t>
      </w:r>
    </w:p>
    <w:p>
      <w:pPr>
        <w:spacing w:after="80" w:before="80"/>
      </w:pPr>
      <w:r>
        <w:t xml:space="preserve"/>
      </w:r>
    </w:p>
    <w:p>
      <w:pPr>
        <w:pStyle w:val="Heading2"/>
        <w:spacing w:after="120" w:before="240"/>
      </w:pPr>
      <w:r>
        <w:rPr>
          <w:rFonts w:ascii="Arial" w:cs="Arial" w:eastAsia="Arial" w:hAnsi="Arial"/>
          <w:b/>
          <w:bCs/>
          <w:color w:val="3A6B8A"/>
          <w:sz w:val="24"/>
          <w:szCs w:val="24"/>
        </w:rPr>
        <w:t xml:space="preserve">Collaboration Infrastructure</w:t>
      </w:r>
    </w:p>
    <w:p>
      <w:pPr>
        <w:pStyle w:val="ListParagraph"/>
        <w:numPr>
          <w:ilvl w:val="0"/>
          <w:numId w:val="2"/>
        </w:numPr>
        <w:spacing w:after="60" w:before="60"/>
      </w:pPr>
      <w:r>
        <w:rPr>
          <w:rFonts w:ascii="Arial" w:cs="Arial" w:eastAsia="Arial" w:hAnsi="Arial"/>
          <w:sz w:val="22"/>
          <w:szCs w:val="22"/>
        </w:rPr>
        <w:t xml:space="preserve">Collaboration is happening across HAAG but informally and without organizational support</w:t>
      </w:r>
    </w:p>
    <w:p>
      <w:pPr>
        <w:pStyle w:val="ListParagraph"/>
        <w:numPr>
          <w:ilvl w:val="0"/>
          <w:numId w:val="2"/>
        </w:numPr>
        <w:spacing w:after="60" w:before="60"/>
      </w:pPr>
      <w:r>
        <w:rPr>
          <w:rFonts w:ascii="Arial" w:cs="Arial" w:eastAsia="Arial" w:hAnsi="Arial"/>
          <w:sz w:val="22"/>
          <w:szCs w:val="22"/>
        </w:rPr>
        <w:t xml:space="preserve">There is no system for tracking working hours or open collaboration sessions at the team level</w:t>
      </w:r>
    </w:p>
    <w:p>
      <w:pPr>
        <w:pStyle w:val="ListParagraph"/>
        <w:numPr>
          <w:ilvl w:val="0"/>
          <w:numId w:val="2"/>
        </w:numPr>
        <w:spacing w:after="60" w:before="60"/>
      </w:pPr>
      <w:r>
        <w:rPr>
          <w:rFonts w:ascii="Arial" w:cs="Arial" w:eastAsia="Arial" w:hAnsi="Arial"/>
          <w:sz w:val="22"/>
          <w:szCs w:val="22"/>
        </w:rPr>
        <w:t xml:space="preserve">A facilitation guide for unit leaders could provide structure and make meetings more consistent</w:t>
      </w:r>
    </w:p>
    <w:p>
      <w:pPr>
        <w:spacing w:after="80" w:before="80"/>
      </w:pPr>
      <w:r>
        <w:t xml:space="preserve"/>
      </w:r>
    </w:p>
    <w:p>
      <w:pPr>
        <w:pStyle w:val="Heading2"/>
        <w:spacing w:after="120" w:before="240"/>
      </w:pPr>
      <w:r>
        <w:rPr>
          <w:rFonts w:ascii="Arial" w:cs="Arial" w:eastAsia="Arial" w:hAnsi="Arial"/>
          <w:b/>
          <w:bCs/>
          <w:color w:val="3A6B8A"/>
          <w:sz w:val="24"/>
          <w:szCs w:val="24"/>
        </w:rPr>
        <w:t xml:space="preserve">Faculty Advice Tracking</w:t>
      </w:r>
    </w:p>
    <w:p>
      <w:pPr>
        <w:pStyle w:val="ListParagraph"/>
        <w:numPr>
          <w:ilvl w:val="0"/>
          <w:numId w:val="2"/>
        </w:numPr>
        <w:spacing w:after="60" w:before="60"/>
      </w:pPr>
      <w:r>
        <w:rPr>
          <w:rFonts w:ascii="Arial" w:cs="Arial" w:eastAsia="Arial" w:hAnsi="Arial"/>
          <w:sz w:val="22"/>
          <w:szCs w:val="22"/>
        </w:rPr>
        <w:t xml:space="preserve">Researchers receive guidance from three advisor types — faculty sponsors, computational advisors, and pitching faculty — but this advice is not tracked or reconciled anywhere</w:t>
      </w:r>
    </w:p>
    <w:p>
      <w:pPr>
        <w:pStyle w:val="ListParagraph"/>
        <w:numPr>
          <w:ilvl w:val="0"/>
          <w:numId w:val="2"/>
        </w:numPr>
        <w:spacing w:after="60" w:before="60"/>
      </w:pPr>
      <w:r>
        <w:rPr>
          <w:rFonts w:ascii="Arial" w:cs="Arial" w:eastAsia="Arial" w:hAnsi="Arial"/>
          <w:sz w:val="22"/>
          <w:szCs w:val="22"/>
        </w:rPr>
        <w:t xml:space="preserve">Researchers can receive conflicting direction across these three sources with no system to navigate the differences</w:t>
      </w:r>
    </w:p>
    <w:p>
      <w:pPr>
        <w:pStyle w:val="ListParagraph"/>
        <w:numPr>
          <w:ilvl w:val="0"/>
          <w:numId w:val="2"/>
        </w:numPr>
        <w:spacing w:after="60" w:before="60"/>
      </w:pPr>
      <w:r>
        <w:rPr>
          <w:rFonts w:ascii="Arial" w:cs="Arial" w:eastAsia="Arial" w:hAnsi="Arial"/>
          <w:sz w:val="22"/>
          <w:szCs w:val="22"/>
        </w:rPr>
        <w:t xml:space="preserve">A structured log comparing advice by advisor type could reduce researcher confusion and surface patterns over time</w:t>
      </w:r>
    </w:p>
    <w:p>
      <w:pPr>
        <w:spacing w:after="80" w:before="80"/>
      </w:pPr>
      <w:r>
        <w:t xml:space="preserve"/>
      </w:r>
    </w:p>
    <w:p>
      <w:pPr>
        <w:pStyle w:val="Heading1"/>
        <w:spacing w:after="160" w:before="320"/>
      </w:pPr>
      <w:r>
        <w:rPr>
          <w:rFonts w:ascii="Arial" w:cs="Arial" w:eastAsia="Arial" w:hAnsi="Arial"/>
          <w:b/>
          <w:bCs/>
          <w:color w:val="2E4057"/>
          <w:sz w:val="28"/>
          <w:szCs w:val="28"/>
        </w:rPr>
        <w:t xml:space="preserve">2. Hypothesis</w:t>
      </w:r>
    </w:p>
    <w:p>
      <w:pPr>
        <w:spacing w:after="80" w:before="80"/>
      </w:pPr>
      <w:r>
        <w:rPr>
          <w:rFonts w:ascii="Arial" w:cs="Arial" w:eastAsia="Arial" w:hAnsi="Arial"/>
          <w:sz w:val="22"/>
          <w:szCs w:val="22"/>
        </w:rPr>
        <w:t xml:space="preserve">If HAAG implements a structured unit meeting framework with defined facilitation, attendance enforcement, and an active Slack channel strategy, then cross-team collaboration will increase — measurable through surveys, channel activity data, and meeting attendance tracking.</w:t>
      </w:r>
    </w:p>
    <w:p>
      <w:pPr>
        <w:spacing w:after="80" w:before="80"/>
      </w:pPr>
      <w:r>
        <w:t xml:space="preserve"/>
      </w:r>
    </w:p>
    <w:p>
      <w:pPr>
        <w:pStyle w:val="Heading1"/>
        <w:spacing w:after="160" w:before="320"/>
      </w:pPr>
      <w:r>
        <w:rPr>
          <w:rFonts w:ascii="Arial" w:cs="Arial" w:eastAsia="Arial" w:hAnsi="Arial"/>
          <w:b/>
          <w:bCs/>
          <w:color w:val="2E4057"/>
          <w:sz w:val="28"/>
          <w:szCs w:val="28"/>
        </w:rPr>
        <w:t xml:space="preserve">3. How We Will Test and Observe This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624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What It Measures</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Pre and post survey</w:t>
            </w:r>
          </w:p>
        </w:tc>
        <w:tc>
          <w:tcPr>
            <w:tcW w:type="dxa" w:w="624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How researchers feel about collaboration, accessibility, and advisor guidance clarity before and after the framework is introduced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Slack channel audit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Baseline of active vs. inactive channels, post frequency, and channel growth over the semester</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Attendance tracking</w:t>
            </w:r>
          </w:p>
        </w:tc>
        <w:tc>
          <w:tcPr>
            <w:tcW w:type="dxa" w:w="624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Unit meeting attendance logs compared against the 40–50 member baseline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Advisor guidance log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Tracks advice from faculty sponsors, computational advisors, and pitching faculty — compares for consistency and outcome</w:t>
            </w:r>
          </w:p>
        </w:tc>
      </w:tr>
    </w:tbl>
    <w:p>
      <w:pPr>
        <w:spacing w:after="80" w:before="80"/>
      </w:pPr>
      <w:r>
        <w:t xml:space="preserve"/>
      </w:r>
    </w:p>
    <w:p>
      <w:pPr>
        <w:pStyle w:val="Heading1"/>
        <w:spacing w:after="160" w:before="320"/>
      </w:pPr>
      <w:r>
        <w:rPr>
          <w:rFonts w:ascii="Arial" w:cs="Arial" w:eastAsia="Arial" w:hAnsi="Arial"/>
          <w:b/>
          <w:bCs/>
          <w:color w:val="2E4057"/>
          <w:sz w:val="28"/>
          <w:szCs w:val="28"/>
        </w:rPr>
        <w:t xml:space="preserve">4. Survey Questions</w:t>
      </w:r>
    </w:p>
    <w:p>
      <w:pPr>
        <w:spacing w:after="80" w:before="80"/>
      </w:pPr>
      <w:r>
        <w:rPr>
          <w:rFonts w:ascii="Arial" w:cs="Arial" w:eastAsia="Arial" w:hAnsi="Arial"/>
          <w:sz w:val="22"/>
          <w:szCs w:val="22"/>
        </w:rPr>
        <w:t xml:space="preserve">The following questions will be used in both a pre-semester and post-semester survey to measure change over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760"/>
      </w:tblGrid>
      <w:tr>
        <w:trPr>
          <w:tblHeader/>
        </w:trPr>
        <w:tc>
          <w:tcPr>
            <w:tcW w:type="dxa" w:w="6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6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27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Format</w:t>
            </w:r>
          </w:p>
        </w:tc>
      </w:tr>
      <w:tr>
        <w:tc>
          <w:tcPr>
            <w:tcW w:type="dxa" w:w="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w:t>
            </w:r>
          </w:p>
        </w:tc>
        <w:tc>
          <w:tcPr>
            <w:tcW w:type="dxa" w:w="6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How often do you attend unit meetings per semester?</w:t>
            </w:r>
          </w:p>
        </w:tc>
        <w:tc>
          <w:tcPr>
            <w:tcW w:type="dxa" w:w="2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Multiple choice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 you feel unit meetings are a useful space for collaboration?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(Low) – 5 (High)</w:t>
            </w:r>
          </w:p>
        </w:tc>
      </w:tr>
      <w:tr>
        <w:tc>
          <w:tcPr>
            <w:tcW w:type="dxa" w:w="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3</w:t>
            </w:r>
          </w:p>
        </w:tc>
        <w:tc>
          <w:tcPr>
            <w:tcW w:type="dxa" w:w="6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How comfortable are you posting in HAAG Slack channels?</w:t>
            </w:r>
          </w:p>
        </w:tc>
        <w:tc>
          <w:tcPr>
            <w:tcW w:type="dxa" w:w="2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 (Low) – 5 (High)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Have you received conflicting advice from different advisor types this semester?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 Somewhat / No</w:t>
            </w:r>
          </w:p>
        </w:tc>
      </w:tr>
      <w:tr>
        <w:tc>
          <w:tcPr>
            <w:tcW w:type="dxa" w:w="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5</w:t>
            </w:r>
          </w:p>
        </w:tc>
        <w:tc>
          <w:tcPr>
            <w:tcW w:type="dxa" w:w="6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How clear are you on what each of your three advisor types is responsible for?</w:t>
            </w:r>
          </w:p>
        </w:tc>
        <w:tc>
          <w:tcPr>
            <w:tcW w:type="dxa" w:w="2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 (Low) – 5 (High)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 you feel collaboration is happening across teams in HAAG?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(Low) – 5 (High)</w:t>
            </w:r>
          </w:p>
        </w:tc>
      </w:tr>
    </w:tbl>
    <w:p>
      <w:pPr>
        <w:spacing w:after="80" w:before="80"/>
      </w:pPr>
      <w:r>
        <w:t xml:space="preserve"/>
      </w:r>
    </w:p>
    <w:p>
      <w:pPr>
        <w:pStyle w:val="Heading1"/>
        <w:spacing w:after="160" w:before="320"/>
      </w:pPr>
      <w:r>
        <w:rPr>
          <w:rFonts w:ascii="Arial" w:cs="Arial" w:eastAsia="Arial" w:hAnsi="Arial"/>
          <w:b/>
          <w:bCs/>
          <w:color w:val="2E4057"/>
          <w:sz w:val="28"/>
          <w:szCs w:val="28"/>
        </w:rPr>
        <w:t xml:space="preserve">5. What This Initiative Needs to Address</w:t>
      </w:r>
    </w:p>
    <w:p>
      <w:pPr>
        <w:pStyle w:val="ListParagraph"/>
        <w:numPr>
          <w:ilvl w:val="0"/>
          <w:numId w:val="2"/>
        </w:numPr>
        <w:spacing w:after="60" w:before="60"/>
      </w:pPr>
      <w:r>
        <w:rPr>
          <w:rFonts w:ascii="Arial" w:cs="Arial" w:eastAsia="Arial" w:hAnsi="Arial"/>
          <w:sz w:val="22"/>
          <w:szCs w:val="22"/>
        </w:rPr>
        <w:t xml:space="preserve">A clear enforcement mechanism for the existing attendance requirement</w:t>
      </w:r>
    </w:p>
    <w:p>
      <w:pPr>
        <w:pStyle w:val="ListParagraph"/>
        <w:numPr>
          <w:ilvl w:val="0"/>
          <w:numId w:val="2"/>
        </w:numPr>
        <w:spacing w:after="60" w:before="60"/>
      </w:pPr>
      <w:r>
        <w:rPr>
          <w:rFonts w:ascii="Arial" w:cs="Arial" w:eastAsia="Arial" w:hAnsi="Arial"/>
          <w:sz w:val="22"/>
          <w:szCs w:val="22"/>
        </w:rPr>
        <w:t xml:space="preserve">A facilitation structure that gives unit leaders direction and makes meetings worth attending</w:t>
      </w:r>
    </w:p>
    <w:p>
      <w:pPr>
        <w:pStyle w:val="ListParagraph"/>
        <w:numPr>
          <w:ilvl w:val="0"/>
          <w:numId w:val="2"/>
        </w:numPr>
        <w:spacing w:after="60" w:before="60"/>
      </w:pPr>
      <w:r>
        <w:rPr>
          <w:rFonts w:ascii="Arial" w:cs="Arial" w:eastAsia="Arial" w:hAnsi="Arial"/>
          <w:sz w:val="22"/>
          <w:szCs w:val="22"/>
        </w:rPr>
        <w:t xml:space="preserve">A strategy for activating dead Slack channels and encouraging casual, low-stakes participation</w:t>
      </w:r>
    </w:p>
    <w:p>
      <w:pPr>
        <w:pStyle w:val="ListParagraph"/>
        <w:numPr>
          <w:ilvl w:val="0"/>
          <w:numId w:val="2"/>
        </w:numPr>
        <w:spacing w:after="60" w:before="60"/>
      </w:pPr>
      <w:r>
        <w:rPr>
          <w:rFonts w:ascii="Arial" w:cs="Arial" w:eastAsia="Arial" w:hAnsi="Arial"/>
          <w:sz w:val="22"/>
          <w:szCs w:val="22"/>
        </w:rPr>
        <w:t xml:space="preserve">A working hours or open collaboration model that teams can adopt</w:t>
      </w:r>
    </w:p>
    <w:p>
      <w:pPr>
        <w:pStyle w:val="ListParagraph"/>
        <w:numPr>
          <w:ilvl w:val="0"/>
          <w:numId w:val="2"/>
        </w:numPr>
        <w:spacing w:after="60" w:before="60"/>
      </w:pPr>
      <w:r>
        <w:rPr>
          <w:rFonts w:ascii="Arial" w:cs="Arial" w:eastAsia="Arial" w:hAnsi="Arial"/>
          <w:sz w:val="22"/>
          <w:szCs w:val="22"/>
        </w:rPr>
        <w:t xml:space="preserve">A tracking system for advisor guidance across all three advisor types</w:t>
      </w:r>
    </w:p>
    <w:p>
      <w:pPr>
        <w:spacing w:after="80" w:before="80"/>
      </w:pPr>
      <w:r>
        <w:t xml:space="preserve"/>
      </w:r>
    </w:p>
    <w:p>
      <w:pPr>
        <w:pStyle w:val="Heading1"/>
        <w:spacing w:after="160" w:before="320"/>
      </w:pPr>
      <w:r>
        <w:rPr>
          <w:rFonts w:ascii="Arial" w:cs="Arial" w:eastAsia="Arial" w:hAnsi="Arial"/>
          <w:b/>
          <w:bCs/>
          <w:color w:val="2E4057"/>
          <w:sz w:val="28"/>
          <w:szCs w:val="28"/>
        </w:rPr>
        <w:t xml:space="preserve">6. Metrics for Evaluation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328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Baseline</w:t>
            </w:r>
          </w:p>
        </w:tc>
        <w:tc>
          <w:tcPr>
            <w:tcW w:type="dxa" w:w="328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Unit meeting attendance rate</w:t>
            </w:r>
          </w:p>
        </w:tc>
        <w:tc>
          <w:tcPr>
            <w:tcW w:type="dxa" w:w="328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20–30 active out of 40–50 members</w:t>
            </w:r>
          </w:p>
        </w:tc>
        <w:tc>
          <w:tcPr>
            <w:tcW w:type="dxa" w:w="328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80%+ of members attending at least 1–2 meetings per semester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Slack channel activity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Most channels inactive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Measurable increase in posts across at least 3 previously inactive channels</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Researcher satisfaction with collaboration</w:t>
            </w:r>
          </w:p>
        </w:tc>
        <w:tc>
          <w:tcPr>
            <w:tcW w:type="dxa" w:w="328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Not yet measured</w:t>
            </w:r>
          </w:p>
        </w:tc>
        <w:tc>
          <w:tcPr>
            <w:tcW w:type="dxa" w:w="328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Mean score of 4 out of 5 or above post-implementation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Advisor guidance clarity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yet measured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Reduction in reported conflicting advice across advisor types</w:t>
            </w:r>
          </w:p>
        </w:tc>
      </w:tr>
    </w:tbl>
    <w:p>
      <w:pPr>
        <w:spacing w:after="80" w:before="80"/>
      </w:pPr>
      <w:r>
        <w:t xml:space="preserve"/>
      </w:r>
    </w:p>
    <w:p>
      <w:pPr>
        <w:pStyle w:val="Heading1"/>
        <w:spacing w:after="160" w:before="320"/>
      </w:pPr>
      <w:r>
        <w:rPr>
          <w:rFonts w:ascii="Arial" w:cs="Arial" w:eastAsia="Arial" w:hAnsi="Arial"/>
          <w:b/>
          <w:bCs/>
          <w:color w:val="2E4057"/>
          <w:sz w:val="28"/>
          <w:szCs w:val="28"/>
        </w:rPr>
        <w:t xml:space="preserve">7. Next Steps and Timeline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52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Week</w:t>
            </w:r>
          </w:p>
        </w:tc>
        <w:tc>
          <w:tcPr>
            <w:tcW w:type="dxa" w:w="504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252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This week</w:t>
            </w:r>
          </w:p>
        </w:tc>
        <w:tc>
          <w:tcPr>
            <w:tcW w:type="dxa" w:w="504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Finalize scoping document and circulate for feedback</w:t>
            </w:r>
          </w:p>
        </w:tc>
        <w:tc>
          <w:tcPr>
            <w:tcW w:type="dxa" w:w="25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Researcher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Next week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Present scoping document to advisor; incorporate first round of feedback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Researcher / Advisor</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Week 2–3</w:t>
            </w:r>
          </w:p>
        </w:tc>
        <w:tc>
          <w:tcPr>
            <w:tcW w:type="dxa" w:w="504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Conduct Slack channel audit; establish attendance baseline</w:t>
            </w:r>
          </w:p>
        </w:tc>
        <w:tc>
          <w:tcPr>
            <w:tcW w:type="dxa" w:w="25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Researcher /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Week 4–5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Distribute pre-semester survey to researchers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 Researcher</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Week 6–7</w:t>
            </w:r>
          </w:p>
        </w:tc>
        <w:tc>
          <w:tcPr>
            <w:tcW w:type="dxa" w:w="504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Pilot facilitation guide with 1–2 unit leaders</w:t>
            </w:r>
          </w:p>
        </w:tc>
        <w:tc>
          <w:tcPr>
            <w:tcW w:type="dxa" w:w="25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Researcher / Unit Leads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Week 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Mid-point check-in; adjust approach based on early data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Researcher</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Week 10–11</w:t>
            </w:r>
          </w:p>
        </w:tc>
        <w:tc>
          <w:tcPr>
            <w:tcW w:type="dxa" w:w="504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Distribute post-semester survey</w:t>
            </w:r>
          </w:p>
        </w:tc>
        <w:tc>
          <w:tcPr>
            <w:tcW w:type="dxa" w:w="25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Admin / Researcher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Week 13–14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Analyze results; finalize procedure documentation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Researcher</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Week 15</w:t>
            </w:r>
          </w:p>
        </w:tc>
        <w:tc>
          <w:tcPr>
            <w:tcW w:type="dxa" w:w="504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Present findings to HAAG manager group for adoption</w:t>
            </w:r>
          </w:p>
        </w:tc>
        <w:tc>
          <w:tcPr>
            <w:tcW w:type="dxa" w:w="25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Researcher / Admin</w:t>
            </w:r>
          </w:p>
        </w:tc>
      </w:tr>
    </w:tbl>
    <w:p>
      <w:pPr>
        <w:spacing w:after="80" w:before="80"/>
      </w:pPr>
      <w:r>
        <w:t xml:space="preserve"/>
      </w:r>
    </w:p>
    <w:p>
      <w:pPr>
        <w:pBdr>
          <w:top w:val="single" w:color="CCCCCC" w:sz="4" w:space="1"/>
        </w:pBdr>
        <w:spacing w:after="80" w:before="320"/>
      </w:pPr>
      <w:r>
        <w:rPr>
          <w:rFonts w:ascii="Arial" w:cs="Arial" w:eastAsia="Arial" w:hAnsi="Arial"/>
          <w:i/>
          <w:iCs/>
          <w:color w:val="888888"/>
          <w:sz w:val="18"/>
          <w:szCs w:val="18"/>
        </w:rPr>
        <w:t xml:space="preserve">Note: This is a working scoping document. Content is subject to revision following advisor feedback rounds.</w:t>
      </w:r>
    </w:p>
    <w:p>
      <w:pPr>
        <w:spacing w:after="0" w:before="0"/>
      </w:pPr>
      <w:r>
        <w:rPr>
          <w:rFonts w:ascii="Arial" w:cs="Arial" w:eastAsia="Arial" w:hAnsi="Arial"/>
          <w:i/>
          <w:iCs/>
          <w:color w:val="888888"/>
          <w:sz w:val="18"/>
          <w:szCs w:val="18"/>
        </w:rPr>
        <w:t xml:space="preserve">HAAG — Faculty Relations Initiative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A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2026-06-03T22:29:51.429Z</dcterms:created>
  <dcterms:modified xsi:type="dcterms:W3CDTF">2026-06-03T22:29:51.429Z</dcterms:modified>
</cp:coreProperties>
</file>

<file path=docProps/custom.xml><?xml version="1.0" encoding="utf-8"?>
<Properties xmlns="http://schemas.openxmlformats.org/officeDocument/2006/custom-properties" xmlns:vt="http://schemas.openxmlformats.org/officeDocument/2006/docPropsVTypes"/>
</file>