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color w:val="4F46E5"/>
          <w:sz w:val="72"/>
          <w:szCs w:val="72"/>
        </w:rPr>
        <w:t xml:space="preserve">KPI-AI</w:t>
      </w:r>
    </w:p>
    <w:p>
      <w:pPr>
        <w:spacing w:after="160" w:before="160"/>
        <w:jc w:val="center"/>
      </w:pPr>
      <w:r>
        <w:rPr>
          <w:rFonts w:ascii="Arial" w:cs="Arial" w:eastAsia="Arial" w:hAnsi="Arial"/>
          <w:color w:val="1E293B"/>
          <w:sz w:val="36"/>
          <w:szCs w:val="36"/>
        </w:rPr>
        <w:t xml:space="preserve">Financial Analysis Platform</w:t>
      </w:r>
    </w:p>
    <w:p>
      <w:pPr>
        <w:pBdr>
          <w:bottom w:val="single" w:color="4F46E5" w:sz="6" w:space="6"/>
        </w:pBdr>
        <w:spacing w:after="400" w:before="0"/>
        <w:jc w:val="center"/>
      </w:pPr>
      <w:r>
        <w:rPr>
          <w:rFonts w:ascii="Arial" w:cs="Arial" w:eastAsia="Arial" w:hAnsi="Arial"/>
          <w:color w:val="64748B"/>
          <w:sz w:val="28"/>
          <w:szCs w:val="28"/>
        </w:rPr>
        <w:t xml:space="preserve">Design &amp; Architecture Decision Log</w:t>
      </w:r>
    </w:p>
    <w:p>
      <w:pPr>
        <w:spacing w:after="0" w:before="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Author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Nicholas Scarcelli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Project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KPI-AI — MVP Financial Analysis Platform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Purpose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Portfolio — Masters in Management of AI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April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MVP Complete</w:t>
            </w:r>
          </w:p>
        </w:tc>
      </w:tr>
    </w:tbl>
    <w:p>
      <w:pPr>
        <w:spacing w:after="0" w:before="2880"/>
      </w:pPr>
      <w:r>
        <w:br w:type="page"/>
      </w:r>
    </w:p>
    <w:p>
      <w:pPr>
        <w:pStyle w:val="Heading1"/>
      </w:pPr>
      <w:r>
        <w:rPr>
          <w:rFonts w:ascii="Arial" w:cs="Arial" w:eastAsia="Arial" w:hAnsi="Arial"/>
          <w:b/>
          <w:bCs/>
          <w:color w:val="1E293B"/>
          <w:sz w:val="36"/>
          <w:szCs w:val="36"/>
        </w:rPr>
        <w:t xml:space="preserve">1. Executive Summary</w:t>
      </w:r>
    </w:p>
    <w:p>
      <w:pPr>
        <w:pBdr>
          <w:bottom w:val="single" w:color="4F46E5" w:sz="4" w:space="1"/>
        </w:pBdr>
        <w:spacing w:after="200" w:before="0"/>
      </w:pPr>
    </w:p>
    <w:p>
      <w:pPr>
        <w:spacing w:after="160" w:before="120"/>
      </w:pPr>
      <w:r>
        <w:rPr>
          <w:rFonts w:ascii="Arial" w:cs="Arial" w:eastAsia="Arial" w:hAnsi="Arial"/>
          <w:color w:val="1E293B"/>
          <w:sz w:val="22"/>
          <w:szCs w:val="22"/>
        </w:rPr>
        <w:t xml:space="preserve">KPI-AI is a financial analysis platform MVP built to automate the extraction and calculation of financial KPIs from Canadian public company filings. The platform targets the Commercial Account Manager (CAM) workflow in commercial banking, where financial statements are currently reviewed and ratios calculated manually.</w:t>
      </w:r>
    </w:p>
    <w:p>
      <w:pPr>
        <w:spacing w:after="160" w:before="0"/>
      </w:pPr>
      <w:r>
        <w:rPr>
          <w:rFonts w:ascii="Arial" w:cs="Arial" w:eastAsia="Arial" w:hAnsi="Arial"/>
          <w:color w:val="1E293B"/>
          <w:sz w:val="22"/>
          <w:szCs w:val="22"/>
        </w:rPr>
        <w:t xml:space="preserve">The problem identified is that CAMs spend significant time manually extracting figures from financial filings and computing ratios — work that is time-consuming, error-prone, and does not leverage the CAM's judgment and expertise. KPI-AI automates the extraction and calculation steps so CAMs can focus on interpretation and credit decision-making.</w:t>
      </w:r>
    </w:p>
    <w:p>
      <w:pPr>
        <w:spacing w:after="160" w:before="0"/>
      </w:pPr>
      <w:r>
        <w:rPr>
          <w:rFonts w:ascii="Arial" w:cs="Arial" w:eastAsia="Arial" w:hAnsi="Arial"/>
          <w:color w:val="1E293B"/>
          <w:sz w:val="22"/>
          <w:szCs w:val="22"/>
        </w:rPr>
        <w:t xml:space="preserve">This document records every major design and technical decision made during the platform's development, including the alternatives considered and the reasoning behind each choice. It serves as a reference for the process mapping exercise, a defensible record of design thinking for the portfolio, and a guide for future development.</w:t>
      </w:r>
    </w:p>
    <w:p>
      <w:pPr>
        <w:spacing w:after="320" w:before="0"/>
      </w:pPr>
      <w:r>
        <w:rPr>
          <w:rFonts w:ascii="Arial" w:cs="Arial" w:eastAsia="Arial" w:hAnsi="Arial"/>
          <w:color w:val="1E293B"/>
          <w:sz w:val="22"/>
          <w:szCs w:val="22"/>
        </w:rPr>
        <w:t xml:space="preserve">The MVP was built with primary research input from an active Commercial Account Manager, whose feedback directly shaped several key design decisions documented in this log.</w:t>
      </w:r>
    </w:p>
    <w:p>
      <w:pPr>
        <w:pStyle w:val="Heading1"/>
      </w:pPr>
      <w:r>
        <w:rPr>
          <w:rFonts w:ascii="Arial" w:cs="Arial" w:eastAsia="Arial" w:hAnsi="Arial"/>
          <w:b/>
          <w:bCs/>
          <w:color w:val="1E293B"/>
          <w:sz w:val="36"/>
          <w:szCs w:val="36"/>
        </w:rPr>
        <w:t xml:space="preserve">2. Platform Overview</w:t>
      </w:r>
    </w:p>
    <w:p>
      <w:pPr>
        <w:pBdr>
          <w:bottom w:val="single" w:color="4F46E5" w:sz="4" w:space="1"/>
        </w:pBdr>
        <w:spacing w:after="200" w:before="0"/>
      </w:pPr>
    </w:p>
    <w:p>
      <w:pPr>
        <w:pStyle w:val="Heading2"/>
      </w:pPr>
      <w:r>
        <w:rPr>
          <w:rFonts w:ascii="Arial" w:cs="Arial" w:eastAsia="Arial" w:hAnsi="Arial"/>
          <w:b/>
          <w:bCs/>
          <w:color w:val="4F46E5"/>
          <w:sz w:val="26"/>
          <w:szCs w:val="26"/>
        </w:rPr>
        <w:t xml:space="preserve">2.1  Three-Stage CAM Workflow</w:t>
      </w:r>
    </w:p>
    <w:p>
      <w:pPr>
        <w:spacing w:after="160" w:before="80"/>
      </w:pPr>
      <w:r>
        <w:rPr>
          <w:rFonts w:ascii="Arial" w:cs="Arial" w:eastAsia="Arial" w:hAnsi="Arial"/>
          <w:color w:val="1E293B"/>
          <w:sz w:val="22"/>
          <w:szCs w:val="22"/>
        </w:rPr>
        <w:t xml:space="preserve">The platform replicates the real CAM workflow in three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Select Company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CAM selects from the pre-approved list of 55 Canadian public companies. The platform locates the corresponding audited annual financial statement PDF automatically.</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4F46E5"/>
                <w:sz w:val="20"/>
                <w:szCs w:val="20"/>
              </w:rPr>
              <w:t xml:space="preserve">2</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Review &amp; Verify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Claude extracts all 15 required financial line items in a single pass. The CAM reviews extracted values, resolves any flags, applies manual adjustments where needed, and verifies clean items before proceeding.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3</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KPI Calculation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CAM selects one or more of the 12 available KPIs. Each selected KPI is calculated individually using the verified extraction data. Results are displayed with the formula and any blocking flags clearly identified.</w:t>
            </w:r>
          </w:p>
        </w:tc>
      </w:tr>
    </w:tbl>
    <w:p>
      <w:pPr>
        <w:spacing w:after="0" w:before="240"/>
      </w:pPr>
    </w:p>
    <w:p>
      <w:pPr>
        <w:pStyle w:val="Heading2"/>
      </w:pPr>
      <w:r>
        <w:rPr>
          <w:rFonts w:ascii="Arial" w:cs="Arial" w:eastAsia="Arial" w:hAnsi="Arial"/>
          <w:b/>
          <w:bCs/>
          <w:color w:val="4F46E5"/>
          <w:sz w:val="26"/>
          <w:szCs w:val="26"/>
        </w:rP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Backend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Python + FastAPI</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Native Anthropic SDK support, strongest AI/ML ecosystem, FastAPI is lightweight and production-grade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React + Vite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Component-based UI suited to dynamic state management across three workflow stages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AI Engine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Claude Sonnet (Anthropic API)</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200k context window handles full financial filings; forced tool_use for structured extraction</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Data Store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JSON flat files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Sufficient for MVP closed-system scope; display name persistence stored server-side</w:t>
            </w:r>
          </w:p>
        </w:tc>
      </w:tr>
    </w:tbl>
    <w:p>
      <w:pPr>
        <w:spacing w:after="0" w:before="320"/>
      </w:pPr>
      <w:r>
        <w:br w:type="page"/>
      </w:r>
    </w:p>
    <w:p>
      <w:pPr>
        <w:pStyle w:val="Heading1"/>
      </w:pPr>
      <w:r>
        <w:rPr>
          <w:rFonts w:ascii="Arial" w:cs="Arial" w:eastAsia="Arial" w:hAnsi="Arial"/>
          <w:b/>
          <w:bCs/>
          <w:color w:val="1E293B"/>
          <w:sz w:val="36"/>
          <w:szCs w:val="36"/>
        </w:rPr>
        <w:t xml:space="preserve">3. Scope Decisions</w:t>
      </w:r>
    </w:p>
    <w:p>
      <w:pPr>
        <w:pBdr>
          <w:bottom w:val="single" w:color="4F46E5" w:sz="4"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S-1  </w:t>
            </w:r>
            <w:r>
              <w:rPr>
                <w:rFonts w:ascii="Arial" w:cs="Arial" w:eastAsia="Arial" w:hAnsi="Arial"/>
                <w:color w:val="FFFFFF"/>
                <w:sz w:val="22"/>
                <w:szCs w:val="22"/>
              </w:rPr>
              <w:t xml:space="preserve">Data Source — Public Filings Only</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Platform exclusively uses publicly available audited annual financial statements filed on SEDAR Plus. No private company data, internal systems, or proprietary data feeds.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Proprietary banking data feeds; private company financials; scraping investor relations websites directly.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Public SEDAR Plus filings eliminate data privacy concerns entirely, ensure consistent document format standards (IFRS compliance required for Canadian public companies), and make the platform demonstrable without any client data exposure. Audited statements provide the highest data reliability available.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S-2  </w:t>
            </w:r>
            <w:r>
              <w:rPr>
                <w:rFonts w:ascii="Arial" w:cs="Arial" w:eastAsia="Arial" w:hAnsi="Arial"/>
                <w:color w:val="FFFFFF"/>
                <w:sz w:val="22"/>
                <w:szCs w:val="22"/>
              </w:rPr>
              <w:t xml:space="preserve">Pre-Approved Company List</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55 companies are pre-selected and validated before the platform is used. Only filings from these approved companies can be analysed in the MVP.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 upload allowing any financial statement; auto-identification of company from document content.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Canadian public companies have complex legal entity naming (e.g., subsidiaries, numbered companies) that makes auto-identification unreliable. Manual pre-selection mirrors the real CAM workflow where a CAM always knows whose financials they are reviewing before opening the document. A closed pre-approved list also ensures data quality and prevents the platform from being tested on unsupported filing formats.</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primary research CAM confirmed that auto-identification of company names would fail on naming inconsistencies common in real corporate structures.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S-3  </w:t>
            </w:r>
            <w:r>
              <w:rPr>
                <w:rFonts w:ascii="Arial" w:cs="Arial" w:eastAsia="Arial" w:hAnsi="Arial"/>
                <w:color w:val="FFFFFF"/>
                <w:sz w:val="22"/>
                <w:szCs w:val="22"/>
              </w:rPr>
              <w:t xml:space="preserve">Filing Type — Audited Annual Financial Statements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Only Audited Annual Financial Statements in English PDF format are used. Document column name on SEDAR Plus: Audited annual financial statements — English.pdf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Interim financial statements; MD&amp;A documents; Annual Information Forms; Annual Reports.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Audited statements are the only filing type that contains all three financial statements (Balance Sheet, Income Statement, Cash Flow) in a verified, standardised format. Interim statements are unaudited and incomplete. MD&amp;A is narrative and does not contain the line item data needed for KPI extraction. Annual Reports may include marketing content that reduces extraction reliability.</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S-4  </w:t>
            </w:r>
            <w:r>
              <w:rPr>
                <w:rFonts w:ascii="Arial" w:cs="Arial" w:eastAsia="Arial" w:hAnsi="Arial"/>
                <w:color w:val="FFFFFF"/>
                <w:sz w:val="22"/>
                <w:szCs w:val="22"/>
              </w:rPr>
              <w:t xml:space="preserve">Filing Date Range</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Most recent available audited annual financial statements as of the date of collection. Year in filename reflects the fiscal year end reported in the financial statements, not the filing date.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Fixed calendar year constraint; multi-year historical filings.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Using the most recent available filing ensures CAMs are working with current data relevant to active credit decisions. The fiscal year end convention in filenames prevents confusion for companies with non-calendar fiscal years (e.g., Dollarama's February year end, Canadian Tire's January year end).</w:t>
            </w:r>
          </w:p>
        </w:tc>
      </w:tr>
    </w:tbl>
    <w:p>
      <w:pPr>
        <w:spacing w:after="0" w:before="240"/>
      </w:pPr>
    </w:p>
    <w:p>
      <w:pPr>
        <w:spacing w:after="0" w:before="0"/>
      </w:pPr>
      <w:r>
        <w:br w:type="page"/>
      </w:r>
    </w:p>
    <w:p>
      <w:pPr>
        <w:pStyle w:val="Heading1"/>
      </w:pPr>
      <w:r>
        <w:rPr>
          <w:rFonts w:ascii="Arial" w:cs="Arial" w:eastAsia="Arial" w:hAnsi="Arial"/>
          <w:b/>
          <w:bCs/>
          <w:color w:val="1E293B"/>
          <w:sz w:val="36"/>
          <w:szCs w:val="36"/>
        </w:rPr>
        <w:t xml:space="preserve">4. Industry Scope Decisions</w:t>
      </w:r>
    </w:p>
    <w:p>
      <w:pPr>
        <w:pBdr>
          <w:bottom w:val="single" w:color="4F46E5" w:sz="4" w:space="1"/>
        </w:pBdr>
        <w:spacing w:after="200" w:before="0"/>
      </w:pPr>
    </w:p>
    <w:p>
      <w:pPr>
        <w:spacing w:after="160" w:before="80"/>
      </w:pPr>
      <w:r>
        <w:rPr>
          <w:rFonts w:ascii="Arial" w:cs="Arial" w:eastAsia="Arial" w:hAnsi="Arial"/>
          <w:color w:val="1E293B"/>
          <w:sz w:val="22"/>
          <w:szCs w:val="22"/>
        </w:rPr>
        <w:t xml:space="preserve">The 55 approved companies span 5 sectors. Three industry categories were explicitly excluded from the MVP scope. The rationale for each inclusion and exclusion decision is documented below.</w:t>
      </w:r>
    </w:p>
    <w:p>
      <w:pPr>
        <w:pStyle w:val="Heading2"/>
      </w:pPr>
      <w:r>
        <w:rPr>
          <w:rFonts w:ascii="Arial" w:cs="Arial" w:eastAsia="Arial" w:hAnsi="Arial"/>
          <w:b/>
          <w:bCs/>
          <w:color w:val="4F46E5"/>
          <w:sz w:val="26"/>
          <w:szCs w:val="26"/>
        </w:rPr>
        <w:t xml:space="preserve">4.1  Included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Companies</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Inclusion Rationale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Retail &amp; Consumer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Largest sector in commercial banking CAM portfolios. Consistent IFRS presentation, predictable line item labelling, strong KPI relevance for credit analysis.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Industrials, Transport &amp; Utilities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20"/>
                <w:szCs w:val="20"/>
              </w:rPr>
              <w:t xml:space="preserve">17</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Capital-intensive businesses where leverage and debt service KPIs are most analytically relevant. Consistent financial statement presentation.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Energy &amp; Resources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Major Canadian sector with high CAM activity. Standard reporting under IFRS with predictable statement structure.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Healthcare &amp; Pharmaceuticals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Growing sector in Canadian commercial banking. Standard IFRS reporting, relevant KPI set.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Telecom &amp; Media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Significant TSX-listed issuers with standard financial statement presentation relevant to commercial credit analysis.</w:t>
            </w:r>
          </w:p>
        </w:tc>
      </w:tr>
    </w:tbl>
    <w:p>
      <w:pPr>
        <w:spacing w:after="0" w:before="240"/>
      </w:pPr>
    </w:p>
    <w:p>
      <w:pPr>
        <w:pStyle w:val="Heading2"/>
      </w:pPr>
      <w:r>
        <w:rPr>
          <w:rFonts w:ascii="Arial" w:cs="Arial" w:eastAsia="Arial" w:hAnsi="Arial"/>
          <w:b/>
          <w:bCs/>
          <w:color w:val="4F46E5"/>
          <w:sz w:val="26"/>
          <w:szCs w:val="26"/>
        </w:rPr>
        <w:t xml:space="preserve">4.2  Excluded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Excluded Sector</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Reason for Exclusion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Technology (SaaS)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Traditional KPIs are misleading for SaaS business models. Revenue recognition, customer acquisition costs, and churn metrics require a fundamentally different analytical framework. Applying standard ratios to a SaaS company produces outputs that do not reflect actual financial health.</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Financial Services &amp; Insurance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Banks, insurers, and investment firms have fundamentally different balance sheet structures. Assets are primarily financial instruments, liabilities include customer deposits, and standard KPIs like Current Ratio and Asset Turnover have no meaningful interpretation in this context.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REITs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REITs use Funds From Operations (FFO) as their primary performance metric rather than net income under IFRS. Standard KPIs calculated from net income produce misleading results. A separate analytical framework specific to real estate investment trusts would be required.</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Professional Services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Inconsistent labour cost reporting across firms makes COGS and Operating Expense definitions unreliable for comparison. The boundary between cost of revenue and operating expense varies significantly by firm and reporting choice.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Construction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Percentage-of-completion accounting creates timing differences that distort period-over-period KPI comparisons. Revenue and income recognition tied to project milestones rather than cash flows makes standard ratio analysis unreliable.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Agriculture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Biological asset fair value adjustments under IAS 41 create significant non-cash income statement volatility that distorts standard profitability and margin KPIs.</w:t>
            </w:r>
          </w:p>
        </w:tc>
      </w:tr>
    </w:tbl>
    <w:p>
      <w:pPr>
        <w:spacing w:after="0" w:before="320"/>
      </w:pPr>
      <w:r>
        <w:br w:type="page"/>
      </w:r>
    </w:p>
    <w:p>
      <w:pPr>
        <w:pStyle w:val="Heading1"/>
      </w:pPr>
      <w:r>
        <w:rPr>
          <w:rFonts w:ascii="Arial" w:cs="Arial" w:eastAsia="Arial" w:hAnsi="Arial"/>
          <w:b/>
          <w:bCs/>
          <w:color w:val="1E293B"/>
          <w:sz w:val="36"/>
          <w:szCs w:val="36"/>
        </w:rPr>
        <w:t xml:space="preserve">5. KPI Framework Decisions</w:t>
      </w:r>
    </w:p>
    <w:p>
      <w:pPr>
        <w:pBdr>
          <w:bottom w:val="single" w:color="4F46E5" w:sz="4"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K-1  </w:t>
            </w:r>
            <w:r>
              <w:rPr>
                <w:rFonts w:ascii="Arial" w:cs="Arial" w:eastAsia="Arial" w:hAnsi="Arial"/>
                <w:color w:val="FFFFFF"/>
                <w:sz w:val="22"/>
                <w:szCs w:val="22"/>
              </w:rPr>
              <w:t xml:space="preserve">KPI Selection — 12 KPIs Across 5 Categories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 KPIs across 5 categories: Liquidity (2), Leverage (4), Efficiency (3), Income Statement (1), Growth (2).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Broader set including margin analysis, valuation multiples, and working capital metrics; narrower set focused only on credit-critical ratios.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12 KPIs selected represent the core analytical framework used in commercial credit assessment. They cover the dimensions a CAM needs to evaluate — can the company pay short-term obligations, how leveraged is it, how efficiently does it use assets, and is it growing. The set was deliberately scoped to ratios calculable from three standard financial statements without requiring supplementary data.</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primary research CAM confirmed that Current Ratio, Leverage ratios, and DSCR are the highest-priority KPIs in a commercial credit review. SG&amp;A-focused metrics initially included were removed following CAM feedback that they are more relevant to equity analysis than credit decisions.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K-2  </w:t>
            </w:r>
            <w:r>
              <w:rPr>
                <w:rFonts w:ascii="Arial" w:cs="Arial" w:eastAsia="Arial" w:hAnsi="Arial"/>
                <w:color w:val="FFFFFF"/>
                <w:sz w:val="22"/>
                <w:szCs w:val="22"/>
              </w:rPr>
              <w:t xml:space="preserve">Current Ratio and Quick Ratio as a Paired Set</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Both Current Ratio and Quick Ratio are included as a paired liquidity measure rather than selecting one.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Current Ratio only; Quick Ratio only.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spread between Current Ratio and Quick Ratio reveals inventory dependency. A company with a high Current Ratio but a low Quick Ratio has most of its current assets tied up in inventory, which is illiquid in a credit stress scenario. The Dollarama first-run extraction demonstrated this: Current Ratio of 1.18 versus Quick Ratio of 0.28, immediately flagging that inventory dominates current assets. This paired insight is exactly what a CAM needs to understand liquidity risk.</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K-3  </w:t>
            </w:r>
            <w:r>
              <w:rPr>
                <w:rFonts w:ascii="Arial" w:cs="Arial" w:eastAsia="Arial" w:hAnsi="Arial"/>
                <w:color w:val="FFFFFF"/>
                <w:sz w:val="22"/>
                <w:szCs w:val="22"/>
              </w:rPr>
              <w:t xml:space="preserve">Debt Service Coverage Ratio Definition</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DSCR = Operating Cash Flow / Total Debt Service, where Total Debt Service = interest paid + principal repayments of long-term debt and lease liabilities.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EBITDA-based DSCR; Net Income-based coverage; Interest Coverage Ratio only.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Operating Cash Flow is the most conservative and credit-relevant numerator because it reflects actual cash generation before financing decisions. EBITDA excludes cash taxes and working capital movements that affect real liquidity. The CAM validation confirmed that DSCR is the single most important ratio in a commercial credit review because it directly answers whether the company generates enough cash to service its debt.</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Primary research CAM identified DSCR as the highest-priority single KPI in commercial credit assessment.</w:t>
            </w:r>
          </w:p>
        </w:tc>
      </w:tr>
    </w:tbl>
    <w:p>
      <w:pPr>
        <w:spacing w:after="0" w:before="240"/>
      </w:pPr>
    </w:p>
    <w:p>
      <w:pPr>
        <w:spacing w:after="0" w:before="240"/>
      </w:pPr>
    </w:p>
    <w:p>
      <w:pPr>
        <w:pStyle w:val="Heading2"/>
      </w:pPr>
      <w:r>
        <w:rPr>
          <w:rFonts w:ascii="Arial" w:cs="Arial" w:eastAsia="Arial" w:hAnsi="Arial"/>
          <w:b/>
          <w:bCs/>
          <w:color w:val="4F46E5"/>
          <w:sz w:val="26"/>
          <w:szCs w:val="26"/>
        </w:rPr>
        <w:t xml:space="preserve">5.1  Full KPI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700"/>
        <w:gridCol w:w="3160"/>
      </w:tblGrid>
      <w:tr>
        <w:tc>
          <w:tcPr>
            <w:tcBorders>
              <w:top w:val="single" w:color="CBD5E1" w:sz="1"/>
              <w:left w:val="single" w:color="CBD5E1" w:sz="1"/>
              <w:bottom w:val="single" w:color="CBD5E1" w:sz="1"/>
              <w:right w:val="single" w:color="CBD5E1"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Borders>
              <w:top w:val="single" w:color="CBD5E1" w:sz="1"/>
              <w:left w:val="single" w:color="CBD5E1" w:sz="1"/>
              <w:bottom w:val="single" w:color="CBD5E1" w:sz="1"/>
              <w:right w:val="single" w:color="CBD5E1"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KPI Name</w:t>
            </w:r>
          </w:p>
        </w:tc>
        <w:tc>
          <w:tcPr>
            <w:tcBorders>
              <w:top w:val="single" w:color="CBD5E1" w:sz="1"/>
              <w:left w:val="single" w:color="CBD5E1" w:sz="1"/>
              <w:bottom w:val="single" w:color="CBD5E1" w:sz="1"/>
              <w:right w:val="single" w:color="CBD5E1"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Formula</w:t>
            </w:r>
          </w:p>
        </w:tc>
        <w:tc>
          <w:tcPr>
            <w:tcBorders>
              <w:top w:val="single" w:color="CBD5E1" w:sz="1"/>
              <w:left w:val="single" w:color="CBD5E1" w:sz="1"/>
              <w:bottom w:val="single" w:color="CBD5E1" w:sz="1"/>
              <w:right w:val="single" w:color="CBD5E1"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Required Inputs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1</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Current Ratio</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Current Assets / Current Liabilities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64748B"/>
                <w:sz w:val="18"/>
                <w:szCs w:val="18"/>
              </w:rPr>
              <w:t xml:space="preserve">Current Assets, Current Liabilities</w:t>
            </w:r>
          </w:p>
        </w:tc>
      </w:tr>
      <w:tr>
        <w:tc>
          <w:tcPr>
            <w:tcW w:type="dxa" w:w="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2</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Quick Ratio</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(Current Assets - Inventory) / Current Liabilities</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64748B"/>
                <w:sz w:val="18"/>
                <w:szCs w:val="18"/>
              </w:rPr>
              <w:t xml:space="preserve">Current Assets, Inventory, Current Liabilities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3</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Debt-to-Equity Ratio</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Total Debt / Total Equity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64748B"/>
                <w:sz w:val="18"/>
                <w:szCs w:val="18"/>
              </w:rPr>
              <w:t xml:space="preserve">Total Debt, Total Equity</w:t>
            </w:r>
          </w:p>
        </w:tc>
      </w:tr>
      <w:tr>
        <w:tc>
          <w:tcPr>
            <w:tcW w:type="dxa" w:w="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4</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Debt-to-Asset Ratio</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Total Debt / Total Assets</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64748B"/>
                <w:sz w:val="18"/>
                <w:szCs w:val="18"/>
              </w:rPr>
              <w:t xml:space="preserve">Total Debt, Total Assets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5</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Debt-to-Equity YoY Change</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(Current D/E - Prior D/E) / Prior D/E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64748B"/>
                <w:sz w:val="18"/>
                <w:szCs w:val="18"/>
              </w:rPr>
              <w:t xml:space="preserve">Total Debt &amp; Equity (current + prior year)</w:t>
            </w:r>
          </w:p>
        </w:tc>
      </w:tr>
      <w:tr>
        <w:tc>
          <w:tcPr>
            <w:tcW w:type="dxa" w:w="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6</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Debt Service Coverage Ratio</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Operating Cash Flow / Total Debt Service</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64748B"/>
                <w:sz w:val="18"/>
                <w:szCs w:val="18"/>
              </w:rPr>
              <w:t xml:space="preserve">Operating Cash Flow, Total Debt Service</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7</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Return on Assets</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Net Income / Total Assets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64748B"/>
                <w:sz w:val="18"/>
                <w:szCs w:val="18"/>
              </w:rPr>
              <w:t xml:space="preserve">Net Income, Total Assets</w:t>
            </w:r>
          </w:p>
        </w:tc>
      </w:tr>
      <w:tr>
        <w:tc>
          <w:tcPr>
            <w:tcW w:type="dxa" w:w="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8</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Asset Turnover Ratio</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Revenue / Total Assets</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64748B"/>
                <w:sz w:val="18"/>
                <w:szCs w:val="18"/>
              </w:rPr>
              <w:t xml:space="preserve">Revenue, Total Assets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9</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Degree of Operating Leverage</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(Revenue - COGS - OpEx) / Operating Income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64748B"/>
                <w:sz w:val="18"/>
                <w:szCs w:val="18"/>
              </w:rPr>
              <w:t xml:space="preserve">Revenue, COGS, Operating Expenses, Operating Income</w:t>
            </w:r>
          </w:p>
        </w:tc>
      </w:tr>
      <w:tr>
        <w:tc>
          <w:tcPr>
            <w:tcW w:type="dxa" w:w="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10</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COGS to Revenue YoY Change</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(Current COGS/Rev - Prior COGS/Rev) / Prior COGS/Rev</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64748B"/>
                <w:sz w:val="18"/>
                <w:szCs w:val="18"/>
              </w:rPr>
              <w:t xml:space="preserve">COGS &amp; Revenue (current + prior year)</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11</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Revenue Growth Rate</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(Current Revenue - Prior Revenue) / Prior Revenue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64748B"/>
                <w:sz w:val="18"/>
                <w:szCs w:val="18"/>
              </w:rPr>
              <w:t xml:space="preserve">Revenue (current + prior year)</w:t>
            </w:r>
          </w:p>
        </w:tc>
      </w:tr>
      <w:tr>
        <w:tc>
          <w:tcPr>
            <w:tcW w:type="dxa" w:w="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4F46E5"/>
                <w:sz w:val="18"/>
                <w:szCs w:val="18"/>
              </w:rPr>
              <w:t xml:space="preserve">12</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Operating Expense Ratio YoY Change</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(Current OpEx/Rev - Prior OpEx/Rev) / Prior OpEx/Rev</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64748B"/>
                <w:sz w:val="18"/>
                <w:szCs w:val="18"/>
              </w:rPr>
              <w:t xml:space="preserve">Operating Expenses &amp; Revenue (current + prior year)</w:t>
            </w:r>
          </w:p>
        </w:tc>
      </w:tr>
    </w:tbl>
    <w:p>
      <w:pPr>
        <w:spacing w:after="0" w:before="320"/>
      </w:pPr>
      <w:r>
        <w:br w:type="page"/>
      </w:r>
    </w:p>
    <w:p>
      <w:pPr>
        <w:pStyle w:val="Heading1"/>
      </w:pPr>
      <w:r>
        <w:rPr>
          <w:rFonts w:ascii="Arial" w:cs="Arial" w:eastAsia="Arial" w:hAnsi="Arial"/>
          <w:b/>
          <w:bCs/>
          <w:color w:val="1E293B"/>
          <w:sz w:val="36"/>
          <w:szCs w:val="36"/>
        </w:rPr>
        <w:t xml:space="preserve">6. Data Pipeline Decisions</w:t>
      </w:r>
    </w:p>
    <w:p>
      <w:pPr>
        <w:pBdr>
          <w:bottom w:val="single" w:color="4F46E5" w:sz="4"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P-1  </w:t>
            </w:r>
            <w:r>
              <w:rPr>
                <w:rFonts w:ascii="Arial" w:cs="Arial" w:eastAsia="Arial" w:hAnsi="Arial"/>
                <w:color w:val="FFFFFF"/>
                <w:sz w:val="22"/>
                <w:szCs w:val="22"/>
              </w:rPr>
              <w:t xml:space="preserve">PDF Text Extraction Method</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Pass PDFs directly to Claude using native PDF reading capability. No pre-processing layer.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OCR pre-processing pipeline; pdfplumber text extraction before Claude; third-party document parsing APIs.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55 approved SEDAR Plus filings were verified to be clean text-based digital PDFs produced electronically for regulatory submission. They are not scanned images. Claude's native PDF reading handles clean digital PDFs reliably without pre-processing. Adding a pre-processing layer introduces complexity and failure points without material benefit for this document set.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P-2  </w:t>
            </w:r>
            <w:r>
              <w:rPr>
                <w:rFonts w:ascii="Arial" w:cs="Arial" w:eastAsia="Arial" w:hAnsi="Arial"/>
                <w:color w:val="FFFFFF"/>
                <w:sz w:val="22"/>
                <w:szCs w:val="22"/>
              </w:rPr>
              <w:t xml:space="preserve">Company Selection Method</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Manual company selection from the pre-approved list before the filing is loaded. The CAM identifies the company, then the platform locates the corresponding PDF automatically.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Auto-identification of company from document content; file upload with auto-matching.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Three reasons drove this decision. First, Canadian public companies have complex legal entity naming — subsidiaries, numbered companies, and holding entities that do not match their common commercial names. Auto-identification would fail on these inconsistencies. Second, manual selection mirrors the real CAM workflow: a CAM always knows whose financials they are reviewing before they open the document. Third, portfolio management is cleaner — filings are assigned to a named entity which makes adding, removing, or archiving companies a deliberate administrative action.</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Primary research CAM confirmed that knowing the client before opening the document is standard practice in commercial banking.</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P-3  </w:t>
            </w:r>
            <w:r>
              <w:rPr>
                <w:rFonts w:ascii="Arial" w:cs="Arial" w:eastAsia="Arial" w:hAnsi="Arial"/>
                <w:color w:val="FFFFFF"/>
                <w:sz w:val="22"/>
                <w:szCs w:val="22"/>
              </w:rPr>
              <w:t xml:space="preserve">Prompt Structure — Single Comprehensive Triage Pass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One comprehensive triage pass at upload that extracts all 15 required line items simultaneously. Individual KPI calculations are performed on demand using the stored extraction dataset.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Single pass extracting and calculating all KPIs simultaneously; one API call per KPI; one API call per financial statement type.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platform front-loads computational work at upload because Claude processes an entire filing in seconds — work that would take a CAM significant time. However the CAM is never forced to engage with output they did not request. The triage pass extracts everything once and stores it. KPI calculations are then lightweight on-demand operations drawing from the stored dataset. The filing is never re-read after the initial triage pass. This approach respects the principle that the platform should do everything it can upfront while presenting only what the CAM needs in the moment.</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Primary research CAM noted that when manually calculating specific KPIs they would not check values they do not need. The platform mirrors this by front-loading extraction but making KPI calculation selective and on-demand.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P-4  </w:t>
            </w:r>
            <w:r>
              <w:rPr>
                <w:rFonts w:ascii="Arial" w:cs="Arial" w:eastAsia="Arial" w:hAnsi="Arial"/>
                <w:color w:val="FFFFFF"/>
                <w:sz w:val="22"/>
                <w:szCs w:val="22"/>
              </w:rPr>
              <w:t xml:space="preserve">Amended Filing Rule</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When both an original and an amended version of the same filing exist on SEDAR Plus, always use the most recently dated amended version.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Use original filing only; flag both versions for manual selection.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amended version supersedes the original by definition — it corrects errors or provides additional disclosure. Using the original when an amendment exists would introduce known inaccuracies into the extraction. A human CAM would instinctively use the most recent version. Discovered during the filing collection phase when Titanium Transportation Group had both an original and an amended filing.</w:t>
            </w:r>
          </w:p>
        </w:tc>
      </w:tr>
    </w:tbl>
    <w:p>
      <w:pPr>
        <w:spacing w:after="0" w:before="240"/>
      </w:pPr>
    </w:p>
    <w:p>
      <w:pPr>
        <w:spacing w:after="0" w:before="320"/>
      </w:pPr>
      <w:r>
        <w:br w:type="page"/>
      </w:r>
    </w:p>
    <w:p>
      <w:pPr>
        <w:pStyle w:val="Heading1"/>
      </w:pPr>
      <w:r>
        <w:rPr>
          <w:rFonts w:ascii="Arial" w:cs="Arial" w:eastAsia="Arial" w:hAnsi="Arial"/>
          <w:b/>
          <w:bCs/>
          <w:color w:val="1E293B"/>
          <w:sz w:val="36"/>
          <w:szCs w:val="36"/>
        </w:rPr>
        <w:t xml:space="preserve">7. CAM Workflow Design Decisions</w:t>
      </w:r>
    </w:p>
    <w:p>
      <w:pPr>
        <w:pBdr>
          <w:bottom w:val="single" w:color="4F46E5" w:sz="4"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W-1  </w:t>
            </w:r>
            <w:r>
              <w:rPr>
                <w:rFonts w:ascii="Arial" w:cs="Arial" w:eastAsia="Arial" w:hAnsi="Arial"/>
                <w:color w:val="FFFFFF"/>
                <w:sz w:val="22"/>
                <w:szCs w:val="22"/>
              </w:rPr>
              <w:t xml:space="preserve">Manual Override Layer</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Every extracted line item has an editable value field. When a CAM enters a corrected value it overrides the Claude extraction for all downstream KPI calculations. The original extracted value remains visible for audit trail purposes.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Read-only extraction results; override only available for flagged items; override requiring supervisor approval.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CAMs routinely make manual adjustments to raw financial figures for credit analysis — normalising earnings, excluding one-time items, applying credit policy adjustments. A platform that does not accommodate these adjustments cannot be used in a real banking environment. The override layer is what makes the platform deployable rather than just a demonstration tool.</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Primary research CAM identified manual adjustment as a non-negotiable requirement. The CAM confirmed that normalised earnings and credit policy adjustments are standard practice in commercial credit review.</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W-2  </w:t>
            </w:r>
            <w:r>
              <w:rPr>
                <w:rFonts w:ascii="Arial" w:cs="Arial" w:eastAsia="Arial" w:hAnsi="Arial"/>
                <w:color w:val="FFFFFF"/>
                <w:sz w:val="22"/>
                <w:szCs w:val="22"/>
              </w:rPr>
              <w:t xml:space="preserve">Flag Behaviour — Non-Blocking by Default</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Flags on extracted line items are persistent but non-blocking. A flag only becomes relevant and blocks progression when the CAM selects a KPI that requires the flagged line item.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Block all KPI calculations until all flags resolved; require sequential resolution of all flags before proceeding; allow complete bypass of all flags.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 CAM reviewing a specific KPI like Debt-to-Equity does not need to resolve a flag on COGS. Forcing resolution of unrelated flags wastes time and does not reflect how a CAM actually works. The platform is designed to mirror manual CAM behaviour where only relevant values are checked for a specific calculation.</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Primary research CAM confirmed that when manually calculating specific KPIs they would not be checking values they do not need.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W-3  </w:t>
            </w:r>
            <w:r>
              <w:rPr>
                <w:rFonts w:ascii="Arial" w:cs="Arial" w:eastAsia="Arial" w:hAnsi="Arial"/>
                <w:color w:val="FFFFFF"/>
                <w:sz w:val="22"/>
                <w:szCs w:val="22"/>
              </w:rPr>
              <w:t xml:space="preserve">Four-State Status System</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Line items have four possible statuses: Needs Review (flagged, blocks dependent KPIs), Complete (clean extraction, awaiting CAM verification), Manually Adjusted (CAM entered a value, auto-verified), Verified (CAM explicitly confirmed a clean extraction).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Binary clean/flagged system; three-state system without the Verified distinction; no status system.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distinction between Complete and Verified is critical for audit trail purposes. Complete means Claude extracted a value cleanly with no flags — but the CAM has not yet confirmed it. Verified means the CAM has explicitly reviewed and signed off on the value. Manually Adjusted means the CAM took ownership of the number by entering it themselves, which is itself a form of verification. This hierarchy reflects the different levels of human oversight that a regulated financial environment requires.</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Primary Research Input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Primary research CAM provided the logic that the act of manually adjusting a value constitutes verification — the CAM is explicitly saying they know what the number should be.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Decision W-4  </w:t>
            </w:r>
            <w:r>
              <w:rPr>
                <w:rFonts w:ascii="Arial" w:cs="Arial" w:eastAsia="Arial" w:hAnsi="Arial"/>
                <w:color w:val="FFFFFF"/>
                <w:sz w:val="22"/>
                <w:szCs w:val="22"/>
              </w:rPr>
              <w:t xml:space="preserve">Display Name Feature</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Decision Made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CAMs can set a preferred display name for any company (e.g., Sobeys for Empire Company Limited). Display names are stored on the backend and persist across sessions. The legal filing name is always used for document matching and audit trail.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Alternatives Considered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Legal name only; client-side storage in browser local storage.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Backend storage was chosen over browser local storage because the platform is intended to be shared and demonstrated across multiple devices and users. Browser storage resets between devices and clears when browser data is cleared — unacceptable for a portfolio demo or a shared tool. Backend storage ensures consistent display names for all users and all sessions. The legal name is always preserved as the canonical reference to maintain audit integrity.</w:t>
            </w:r>
          </w:p>
        </w:tc>
      </w:tr>
    </w:tbl>
    <w:p>
      <w:pPr>
        <w:spacing w:after="0" w:before="240"/>
      </w:pPr>
    </w:p>
    <w:p>
      <w:pPr>
        <w:spacing w:after="0" w:before="320"/>
      </w:pPr>
      <w:r>
        <w:br w:type="page"/>
      </w:r>
    </w:p>
    <w:p>
      <w:pPr>
        <w:pStyle w:val="Heading1"/>
      </w:pPr>
      <w:r>
        <w:rPr>
          <w:rFonts w:ascii="Arial" w:cs="Arial" w:eastAsia="Arial" w:hAnsi="Arial"/>
          <w:b/>
          <w:bCs/>
          <w:color w:val="1E293B"/>
          <w:sz w:val="36"/>
          <w:szCs w:val="36"/>
        </w:rPr>
        <w:t xml:space="preserve">8. Approved Company List</w:t>
      </w:r>
    </w:p>
    <w:p>
      <w:pPr>
        <w:pBdr>
          <w:bottom w:val="single" w:color="4F46E5" w:sz="4" w:space="1"/>
        </w:pBdr>
        <w:spacing w:after="200" w:before="0"/>
      </w:pPr>
    </w:p>
    <w:p>
      <w:pPr>
        <w:spacing w:after="200" w:before="80"/>
      </w:pPr>
      <w:r>
        <w:rPr>
          <w:rFonts w:ascii="Arial" w:cs="Arial" w:eastAsia="Arial" w:hAnsi="Arial"/>
          <w:color w:val="1E293B"/>
          <w:sz w:val="22"/>
          <w:szCs w:val="22"/>
        </w:rPr>
        <w:t xml:space="preserve">55 companies across 5 sectors. All filings sourced from SEDAR Plus as Audited Annual Financial Statements (English PDF). Year reflects fiscal year end reported in the financial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Legal Entity Name (SEDAR Filing Name)</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Sector</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Fiscal Year</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Alimentation Couche-Tard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Aritzia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Canadian Tire Corporation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2026</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Dollarama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Empire Company Limited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George Weston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Leon's Furniture Limited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Loblaw Companies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Maple Leaf Foods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Metro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Pet Valu Holdings Ltd.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Reitmans Canada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Roots Corporation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Saputo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The North West Company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Andrew Peller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Corby Spirit and Wine Limited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MTY Food Group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Restaurant Brands International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Spin Master Corp.</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Lassonde Industries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Retail &amp; Consumer</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Air Canada</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ATS Corporation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Bombardier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Canadian Pacific Kansas City Limited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Cargojet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Finning International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Linamar Corporation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Martinrea International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NFI Group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Stella-Jones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TFI International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Titanium Transportation Group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ATCO Ltd.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Algonquin Power &amp; Utilities Corp.</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Emera Incorporated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Fortis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Hydro One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Canadian Utilities Limited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Industrials, Transport &amp; Utilities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Agnico Eagle Mines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Barrick Mining Corporation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Canadian Natural Resources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Cenovus Energy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Imperial Oil Limited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Kinross Gold Corporation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Lundin Mining Corporation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Ovintiv</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Suncor Energy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Teck Resources Limited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Energy &amp; Resources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Bausch Health Companies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Healthcare &amp; Pharmaceuticals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dentalcorp Health Services Ltd.</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Healthcare &amp; Pharmaceuticals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Jamieson Wellness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Healthcare &amp; Pharmaceuticals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Knight Therapeutics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Healthcare &amp; Pharmaceuticals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Medical Facilities Corporation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Healthcare &amp; Pharmaceuticals</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BCE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Telecom &amp; Media</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r>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Quebecor Inc.</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Telecom &amp; Media</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2025</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Rogers Communications Inc.</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Telecom &amp; Media</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8"/>
                <w:szCs w:val="18"/>
              </w:rPr>
              <w:t xml:space="preserve">2024</w:t>
            </w:r>
          </w:p>
        </w:tc>
      </w:tr>
    </w:tbl>
    <w:p>
      <w:pPr>
        <w:spacing w:after="0" w:before="320"/>
      </w:pPr>
      <w:r>
        <w:br w:type="page"/>
      </w:r>
    </w:p>
    <w:p>
      <w:pPr>
        <w:pStyle w:val="Heading1"/>
      </w:pPr>
      <w:r>
        <w:rPr>
          <w:rFonts w:ascii="Arial" w:cs="Arial" w:eastAsia="Arial" w:hAnsi="Arial"/>
          <w:b/>
          <w:bCs/>
          <w:color w:val="1E293B"/>
          <w:sz w:val="36"/>
          <w:szCs w:val="36"/>
        </w:rPr>
        <w:t xml:space="preserve">9. Post-MVP Roadmap</w:t>
      </w:r>
    </w:p>
    <w:p>
      <w:pPr>
        <w:pBdr>
          <w:bottom w:val="single" w:color="4F46E5" w:sz="4" w:space="1"/>
        </w:pBdr>
        <w:spacing w:after="200" w:before="0"/>
      </w:pPr>
    </w:p>
    <w:p>
      <w:pPr>
        <w:spacing w:after="160" w:before="80"/>
      </w:pPr>
      <w:r>
        <w:rPr>
          <w:rFonts w:ascii="Arial" w:cs="Arial" w:eastAsia="Arial" w:hAnsi="Arial"/>
          <w:color w:val="1E293B"/>
          <w:sz w:val="22"/>
          <w:szCs w:val="22"/>
        </w:rPr>
        <w:t xml:space="preserve">The following capabilities were deliberately scoped out of the MVP. Each represents a validated extension that builds on the platform's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 &amp; Rationale for Deferral</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Company Health Report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downloadable PDF report including all 12 KPIs, industry benchmark comparisons, trend graphs, and contextual interpretation. Deferred because it requires industry benchmark datasets, multi-year data infrastructure, and data visualisation capability that go beyond proving the core extraction and calculation concept.</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Multi-Year Trend Analysis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Storing multiple years of filings per company to enable trend analysis across 3-5 years. Deferred to keep MVP scope focused on the single-filing use case. The data architecture supports this extension — each company would have a filing history rather than a single current filing.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Private Company Support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Expanding beyond public SEDAR filings to support private company financials uploaded directly by the CAM. Requires a different data quality framework since private filings are not standardised under IFRS in the same way.</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Expanded Company List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Adding more companies, completing the two missing healthcare replacements (Sleep Country and Neighbourly Pharmacy both delisted), and expanding to additional sectors. The platform architecture supports any number of companies.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Industry Benchmark Integration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Sourcing sector-level benchmark data for each KPI to contextualise individual company results. Enables the platform to flag when a ratio is above or below the sector average.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File Upload Flow</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Allowing CAMs to upload any PDF directly rather than selecting from the pre-approved list. Requires solving the company identification problem and extending the filing validation framework to handle unknown document formats.</w:t>
            </w:r>
          </w:p>
        </w:tc>
      </w:tr>
    </w:tbl>
    <w:p>
      <w:pPr>
        <w:spacing w:after="0" w:before="320"/>
      </w:pPr>
    </w:p>
    <w:p>
      <w:pPr>
        <w:pBdr>
          <w:top w:val="single" w:color="4F46E5" w:sz="4" w:space="6"/>
        </w:pBdr>
        <w:spacing w:after="80" w:before="240"/>
      </w:pPr>
      <w:r>
        <w:rPr>
          <w:rFonts w:ascii="Arial" w:cs="Arial" w:eastAsia="Arial" w:hAnsi="Arial"/>
          <w:i/>
          <w:iCs/>
          <w:color w:val="64748B"/>
          <w:sz w:val="18"/>
          <w:szCs w:val="18"/>
        </w:rPr>
        <w:t xml:space="preserve">KPI-AI — Design &amp; Architecture Decision Log  |  Nicholas Scarcelli  |  April 2026  |  Portfolio Project — Masters in Management of AI</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2026-04-19T20:38:30.542Z</dcterms:created>
  <dcterms:modified xsi:type="dcterms:W3CDTF">2026-04-19T20:38:30.543Z</dcterms:modified>
</cp:coreProperties>
</file>

<file path=docProps/custom.xml><?xml version="1.0" encoding="utf-8"?>
<Properties xmlns="http://schemas.openxmlformats.org/officeDocument/2006/custom-properties" xmlns:vt="http://schemas.openxmlformats.org/officeDocument/2006/docPropsVTypes"/>
</file>