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Executive Summary - Fraud Detection Capstone</w:t>
      </w:r>
    </w:p>
    <w:p>
      <w:pPr>
        <w:pStyle w:val="Heading2"/>
      </w:pPr>
      <w:r>
        <w:t>Best model</w:t>
      </w:r>
    </w:p>
    <w:p>
      <w:r>
        <w:t>LightGBM achieved the highest PR-AUC on the held-out test split. It handles high-dimensional sparse features efficiently and supports class-weighting for the ~3.5% fraud rate.</w:t>
      </w:r>
    </w:p>
    <w:p>
      <w:pPr>
        <w:pStyle w:val="Heading2"/>
      </w:pPr>
      <w:r>
        <w:t>Why PR-AUC over accuracy?</w:t>
      </w:r>
    </w:p>
    <w:p>
      <w:r>
        <w:t>Predicting all transactions as legitimate yields ~96.5% accuracy but zero fraud caught. PR-AUC evaluates ranking quality on the minority (fraud) class.</w:t>
      </w:r>
    </w:p>
    <w:p>
      <w:pPr>
        <w:pStyle w:val="Heading2"/>
      </w:pPr>
      <w:r>
        <w:t>Top 3 SHAP fraud signals</w:t>
      </w:r>
    </w:p>
    <w:p>
      <w:r>
        <w:t>See sheet SHAP_Top_Features in FraudDetection_Results.xlsx after running the pipeline.</w:t>
      </w:r>
    </w:p>
    <w:p>
      <w:pPr>
        <w:pStyle w:val="Heading2"/>
      </w:pPr>
      <w:r>
        <w:t>Critical risk tier (p &gt;= 0.75)</w:t>
      </w:r>
    </w:p>
    <w:p>
      <w:r>
        <w:t>- Higher average transaction amounts</w:t>
        <w:br/>
        <w:t>- Elevated activity in late-night hours</w:t>
        <w:br/>
        <w:t>- Concentrated device / velocity patterns</w:t>
      </w:r>
    </w:p>
    <w:p>
      <w:pPr>
        <w:pStyle w:val="Heading2"/>
      </w:pPr>
      <w:r>
        <w:t>Policies</w:t>
      </w:r>
    </w:p>
    <w:p>
      <w:r>
        <w:t>1. Auto-block when model probability &gt;= 0.75 (Critical).</w:t>
        <w:br/>
        <w:t>2. Step-up auth for Suspicious tier (0.40-0.74).</w:t>
      </w:r>
    </w:p>
    <w:p>
      <w:pPr>
        <w:pStyle w:val="Heading2"/>
      </w:pPr>
      <w:r>
        <w:t>Estimated savings</w:t>
      </w:r>
    </w:p>
    <w:p>
      <w:r>
        <w:t>Extrapolating true-positive fraud dollars captured on the test split -&gt; ~+ annualized (volume-dependent).</w:t>
      </w:r>
    </w:p>
    <w:p>
      <w:pPr>
        <w:pStyle w:val="Heading2"/>
      </w:pPr>
      <w:r>
        <w:t>Limitations</w:t>
      </w:r>
    </w:p>
    <w:p>
      <w:r>
        <w:t>- Concept drift in attack patterns</w:t>
        <w:br/>
        <w:t>- Label delay and false negatives in training labels</w:t>
        <w:br/>
        <w:t>- Needs fresh device/geo signals for novel fraud rings</w:t>
      </w:r>
    </w:p>
    <w:p>
      <w:pPr>
        <w:pStyle w:val="Heading2"/>
      </w:pPr>
      <w:r>
        <w:t>Additional data</w:t>
      </w:r>
    </w:p>
    <w:p>
      <w:r>
        <w:t>- Merchant category (MCC), IP reputation, behavioral biometrics, graph links between cards.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