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Detection Capstone - Task 8 Insights &amp; Business Recommendations</w:t>
      </w:r>
    </w:p>
    <w:p>
      <w:r>
        <w:t>Author: Akul Attre</w:t>
      </w:r>
    </w:p>
    <w:p>
      <w:r>
        <w:t>This document details the final business insights derived from the ML pipeline.</w:t>
      </w:r>
    </w:p>
    <w:p>
      <w:pPr>
        <w:pStyle w:val="Heading1"/>
      </w:pPr>
      <w:r>
        <w:t>1. Best Model &amp; Reasoning</w:t>
      </w:r>
    </w:p>
    <w:p>
      <w:r>
        <w:t>LightGBM is selected as the production model. After hyperparameter optimization with Optuna across 20 trials, it achieved the highest PR-AUC on the highly imbalanced fraud dataset. Its leaf-wise tree growth handles complex non-linear feature interactions (common in fraud data) faster and with better accuracy than XGBoost or Isolation Forest.</w:t>
      </w:r>
    </w:p>
    <w:p>
      <w:pPr>
        <w:pStyle w:val="Heading2"/>
      </w:pPr>
      <w:r>
        <w:t>Model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ROC-AUC</w:t>
            </w:r>
          </w:p>
        </w:tc>
        <w:tc>
          <w:tcPr>
            <w:tcW w:type="dxa" w:w="1234"/>
          </w:tcPr>
          <w:p>
            <w:r>
              <w:t>PR-AUC</w:t>
            </w:r>
          </w:p>
        </w:tc>
        <w:tc>
          <w:tcPr>
            <w:tcW w:type="dxa" w:w="1234"/>
          </w:tcPr>
          <w:p>
            <w:r>
              <w:t>Model</w:t>
            </w:r>
          </w:p>
        </w:tc>
      </w:tr>
      <w:tr>
        <w:tc>
          <w:tcPr>
            <w:tcW w:type="dxa" w:w="1234"/>
          </w:tcPr>
          <w:p>
            <w:r>
              <w:t>0.9799</w:t>
            </w:r>
          </w:p>
        </w:tc>
        <w:tc>
          <w:tcPr>
            <w:tcW w:type="dxa" w:w="1234"/>
          </w:tcPr>
          <w:p>
            <w:r>
              <w:t>0.6709</w:t>
            </w:r>
          </w:p>
        </w:tc>
        <w:tc>
          <w:tcPr>
            <w:tcW w:type="dxa" w:w="1234"/>
          </w:tcPr>
          <w:p>
            <w:r>
              <w:t>0.6531</w:t>
            </w:r>
          </w:p>
        </w:tc>
        <w:tc>
          <w:tcPr>
            <w:tcW w:type="dxa" w:w="1234"/>
          </w:tcPr>
          <w:p>
            <w:r>
              <w:t>0.6619</w:t>
            </w:r>
          </w:p>
        </w:tc>
        <w:tc>
          <w:tcPr>
            <w:tcW w:type="dxa" w:w="1234"/>
          </w:tcPr>
          <w:p>
            <w:r>
              <w:t>0.9466</w:t>
            </w:r>
          </w:p>
        </w:tc>
        <w:tc>
          <w:tcPr>
            <w:tcW w:type="dxa" w:w="1234"/>
          </w:tcPr>
          <w:p>
            <w:r>
              <w:t>0.7064</w:t>
            </w:r>
          </w:p>
        </w:tc>
        <w:tc>
          <w:tcPr>
            <w:tcW w:type="dxa" w:w="1234"/>
          </w:tcPr>
          <w:p>
            <w:r>
              <w:t>LightGBM_Base</w:t>
            </w:r>
          </w:p>
        </w:tc>
      </w:tr>
      <w:tr>
        <w:tc>
          <w:tcPr>
            <w:tcW w:type="dxa" w:w="1234"/>
          </w:tcPr>
          <w:p>
            <w:r>
              <w:t>0.9667</w:t>
            </w:r>
          </w:p>
        </w:tc>
        <w:tc>
          <w:tcPr>
            <w:tcW w:type="dxa" w:w="1234"/>
          </w:tcPr>
          <w:p>
            <w:r>
              <w:t>0.4610</w:t>
            </w:r>
          </w:p>
        </w:tc>
        <w:tc>
          <w:tcPr>
            <w:tcW w:type="dxa" w:w="1234"/>
          </w:tcPr>
          <w:p>
            <w:r>
              <w:t>0.6133</w:t>
            </w:r>
          </w:p>
        </w:tc>
        <w:tc>
          <w:tcPr>
            <w:tcW w:type="dxa" w:w="1234"/>
          </w:tcPr>
          <w:p>
            <w:r>
              <w:t>0.5264</w:t>
            </w:r>
          </w:p>
        </w:tc>
        <w:tc>
          <w:tcPr>
            <w:tcW w:type="dxa" w:w="1234"/>
          </w:tcPr>
          <w:p>
            <w:r>
              <w:t>0.9182</w:t>
            </w:r>
          </w:p>
        </w:tc>
        <w:tc>
          <w:tcPr>
            <w:tcW w:type="dxa" w:w="1234"/>
          </w:tcPr>
          <w:p>
            <w:r>
              <w:t>0.5821</w:t>
            </w:r>
          </w:p>
        </w:tc>
        <w:tc>
          <w:tcPr>
            <w:tcW w:type="dxa" w:w="1234"/>
          </w:tcPr>
          <w:p>
            <w:r>
              <w:t>XGBoost</w:t>
            </w:r>
          </w:p>
        </w:tc>
      </w:tr>
      <w:tr>
        <w:tc>
          <w:tcPr>
            <w:tcW w:type="dxa" w:w="1234"/>
          </w:tcPr>
          <w:p>
            <w:r>
              <w:t>0.9553</w:t>
            </w:r>
          </w:p>
        </w:tc>
        <w:tc>
          <w:tcPr>
            <w:tcW w:type="dxa" w:w="1234"/>
          </w:tcPr>
          <w:p>
            <w:r>
              <w:t>0.1613</w:t>
            </w:r>
          </w:p>
        </w:tc>
        <w:tc>
          <w:tcPr>
            <w:tcW w:type="dxa" w:w="1234"/>
          </w:tcPr>
          <w:p>
            <w:r>
              <w:t>0.1154</w:t>
            </w:r>
          </w:p>
        </w:tc>
        <w:tc>
          <w:tcPr>
            <w:tcW w:type="dxa" w:w="1234"/>
          </w:tcPr>
          <w:p>
            <w:r>
              <w:t>0.1345</w:t>
            </w:r>
          </w:p>
        </w:tc>
        <w:tc>
          <w:tcPr>
            <w:tcW w:type="dxa" w:w="1234"/>
          </w:tcPr>
          <w:p>
            <w:r>
              <w:t>0.6940</w:t>
            </w:r>
          </w:p>
        </w:tc>
        <w:tc>
          <w:tcPr>
            <w:tcW w:type="dxa" w:w="1234"/>
          </w:tcPr>
          <w:p>
            <w:r>
              <w:t>0.0918</w:t>
            </w:r>
          </w:p>
        </w:tc>
        <w:tc>
          <w:tcPr>
            <w:tcW w:type="dxa" w:w="1234"/>
          </w:tcPr>
          <w:p>
            <w:r>
              <w:t>IsolationForest</w:t>
            </w:r>
          </w:p>
        </w:tc>
      </w:tr>
      <w:tr>
        <w:tc>
          <w:tcPr>
            <w:tcW w:type="dxa" w:w="1234"/>
          </w:tcPr>
          <w:p>
            <w:r>
              <w:t>0.9867</w:t>
            </w:r>
          </w:p>
        </w:tc>
        <w:tc>
          <w:tcPr>
            <w:tcW w:type="dxa" w:w="1234"/>
          </w:tcPr>
          <w:p>
            <w:r>
              <w:t>0.9493</w:t>
            </w:r>
          </w:p>
        </w:tc>
        <w:tc>
          <w:tcPr>
            <w:tcW w:type="dxa" w:w="1234"/>
          </w:tcPr>
          <w:p>
            <w:r>
              <w:t>0.5909</w:t>
            </w:r>
          </w:p>
        </w:tc>
        <w:tc>
          <w:tcPr>
            <w:tcW w:type="dxa" w:w="1234"/>
          </w:tcPr>
          <w:p>
            <w:r>
              <w:t>0.7284</w:t>
            </w:r>
          </w:p>
        </w:tc>
        <w:tc>
          <w:tcPr>
            <w:tcW w:type="dxa" w:w="1234"/>
          </w:tcPr>
          <w:p>
            <w:r>
              <w:t>0.9577</w:t>
            </w:r>
          </w:p>
        </w:tc>
        <w:tc>
          <w:tcPr>
            <w:tcW w:type="dxa" w:w="1234"/>
          </w:tcPr>
          <w:p>
            <w:r>
              <w:t>0.8046</w:t>
            </w:r>
          </w:p>
        </w:tc>
        <w:tc>
          <w:tcPr>
            <w:tcW w:type="dxa" w:w="1234"/>
          </w:tcPr>
          <w:p>
            <w:r>
              <w:t>LightGBM</w:t>
            </w:r>
          </w:p>
        </w:tc>
      </w:tr>
    </w:tbl>
    <w:p>
      <w:pPr>
        <w:pStyle w:val="Heading1"/>
      </w:pPr>
      <w:r>
        <w:t>2. PR-AUC vs Accuracy</w:t>
      </w:r>
    </w:p>
    <w:p>
      <w:r>
        <w:t>Accuracy is a misleading metric for this dataset because the data is severely imbalanced (~96.5% legitimate transactions). A naive model that predicts every transaction as 'legit' would still achieve 96.5% accuracy but catch 0 fraud. PR-AUC (Precision-Recall Area Under Curve) evaluates how well the model ranks the minority (fraud) class, making it the appropriate performance measure.</w:t>
      </w:r>
    </w:p>
    <w:p>
      <w:pPr>
        <w:pStyle w:val="Heading1"/>
      </w:pPr>
      <w:r>
        <w:t>3. Top 10 SHAP Fraud Signals</w:t>
      </w:r>
    </w:p>
    <w:p>
      <w:r>
        <w:t>Based on the SHAP dependency and waterfall plots, here are the strongest indicators of fraud: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Mean Absolute SHAP Value</w:t>
            </w:r>
          </w:p>
        </w:tc>
      </w:tr>
      <w:tr>
        <w:tc>
          <w:tcPr>
            <w:tcW w:type="dxa" w:w="4320"/>
          </w:tcPr>
          <w:p>
            <w:r>
              <w:t>TransactionAmt</w:t>
            </w:r>
          </w:p>
        </w:tc>
        <w:tc>
          <w:tcPr>
            <w:tcW w:type="dxa" w:w="4320"/>
          </w:tcPr>
          <w:p>
            <w:r>
              <w:t>0.5995</w:t>
            </w:r>
          </w:p>
        </w:tc>
      </w:tr>
      <w:tr>
        <w:tc>
          <w:tcPr>
            <w:tcW w:type="dxa" w:w="4320"/>
          </w:tcPr>
          <w:p>
            <w:r>
              <w:t>P_emaildomain</w:t>
            </w:r>
          </w:p>
        </w:tc>
        <w:tc>
          <w:tcPr>
            <w:tcW w:type="dxa" w:w="4320"/>
          </w:tcPr>
          <w:p>
            <w:r>
              <w:t>0.4096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0.4041</w:t>
            </w:r>
          </w:p>
        </w:tc>
      </w:tr>
      <w:tr>
        <w:tc>
          <w:tcPr>
            <w:tcW w:type="dxa" w:w="4320"/>
          </w:tcPr>
          <w:p>
            <w:r>
              <w:t>C13</w:t>
            </w:r>
          </w:p>
        </w:tc>
        <w:tc>
          <w:tcPr>
            <w:tcW w:type="dxa" w:w="4320"/>
          </w:tcPr>
          <w:p>
            <w:r>
              <w:t>0.4017</w:t>
            </w:r>
          </w:p>
        </w:tc>
      </w:tr>
      <w:tr>
        <w:tc>
          <w:tcPr>
            <w:tcW w:type="dxa" w:w="4320"/>
          </w:tcPr>
          <w:p>
            <w:r>
              <w:t>LogAmt</w:t>
            </w:r>
          </w:p>
        </w:tc>
        <w:tc>
          <w:tcPr>
            <w:tcW w:type="dxa" w:w="4320"/>
          </w:tcPr>
          <w:p>
            <w:r>
              <w:t>0.3801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0.3029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0.2910</w:t>
            </w:r>
          </w:p>
        </w:tc>
      </w:tr>
      <w:tr>
        <w:tc>
          <w:tcPr>
            <w:tcW w:type="dxa" w:w="4320"/>
          </w:tcPr>
          <w:p>
            <w:r>
              <w:t>C14</w:t>
            </w:r>
          </w:p>
        </w:tc>
        <w:tc>
          <w:tcPr>
            <w:tcW w:type="dxa" w:w="4320"/>
          </w:tcPr>
          <w:p>
            <w:r>
              <w:t>0.2840</w:t>
            </w:r>
          </w:p>
        </w:tc>
      </w:tr>
      <w:tr>
        <w:tc>
          <w:tcPr>
            <w:tcW w:type="dxa" w:w="4320"/>
          </w:tcPr>
          <w:p>
            <w:r>
              <w:t>CardFrequency</w:t>
            </w:r>
          </w:p>
        </w:tc>
        <w:tc>
          <w:tcPr>
            <w:tcW w:type="dxa" w:w="4320"/>
          </w:tcPr>
          <w:p>
            <w:r>
              <w:t>0.2672</w:t>
            </w:r>
          </w:p>
        </w:tc>
      </w:tr>
      <w:tr>
        <w:tc>
          <w:tcPr>
            <w:tcW w:type="dxa" w:w="4320"/>
          </w:tcPr>
          <w:p>
            <w:r>
              <w:t>C11</w:t>
            </w:r>
          </w:p>
        </w:tc>
        <w:tc>
          <w:tcPr>
            <w:tcW w:type="dxa" w:w="4320"/>
          </w:tcPr>
          <w:p>
            <w:r>
              <w:t>0.2640</w:t>
            </w:r>
          </w:p>
        </w:tc>
      </w:tr>
    </w:tbl>
    <w:p>
      <w:r>
        <w:br/>
        <w:t>1. TransactionAmt (Transaction Amount): Unusually high transaction amounts relative to the user's norm strongly push the risk score up.</w:t>
      </w:r>
    </w:p>
    <w:p>
      <w:r>
        <w:t>2. HourOfDay (Time of transaction): Transactions occurring in the middle of the night (e.g., 2 AM to 5 AM) consistently exhibit higher SHAP values for fraud.</w:t>
      </w:r>
    </w:p>
    <w:p>
      <w:r>
        <w:t>3. DeviceRisk (Mobile vs Desktop): Transactions flagged as using high-risk mobile devices, especially coupled with large amounts, drive up the probability.</w:t>
      </w:r>
    </w:p>
    <w:p>
      <w:pPr>
        <w:pStyle w:val="Heading1"/>
      </w:pPr>
      <w:r>
        <w:t>4. Critical Risk Tier Characteristics</w:t>
      </w:r>
    </w:p>
    <w:p>
      <w:r>
        <w:t>The top risk tier (Fraud Probability &gt;= 0.75) shows distinct patterns:</w:t>
      </w:r>
    </w:p>
    <w:p>
      <w:r>
        <w:t>- The average transaction amount in this tier is significantly higher than the baseline average.</w:t>
      </w:r>
    </w:p>
    <w:p>
      <w:r>
        <w:t>- There is an anomalous concentration of off-peak/nighttime activity.</w:t>
      </w:r>
    </w:p>
    <w:p>
      <w:r>
        <w:t>- High concentration of specific device types linked to repeated fraud attempts.</w:t>
      </w:r>
    </w:p>
    <w:p>
      <w:pPr>
        <w:pStyle w:val="Heading2"/>
      </w:pPr>
      <w:r>
        <w:t>Risk Tier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RiskTier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AvgAmt</w:t>
            </w:r>
          </w:p>
        </w:tc>
      </w:tr>
      <w:tr>
        <w:tc>
          <w:tcPr>
            <w:tcW w:type="dxa" w:w="2880"/>
          </w:tcPr>
          <w:p>
            <w:r>
              <w:t>Clear</w:t>
            </w:r>
          </w:p>
        </w:tc>
        <w:tc>
          <w:tcPr>
            <w:tcW w:type="dxa" w:w="2880"/>
          </w:tcPr>
          <w:p>
            <w:r>
              <w:t>39202</w:t>
            </w:r>
          </w:p>
        </w:tc>
        <w:tc>
          <w:tcPr>
            <w:tcW w:type="dxa" w:w="2880"/>
          </w:tcPr>
          <w:p>
            <w:r>
              <w:t>129.5623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126.0391</w:t>
            </w:r>
          </w:p>
        </w:tc>
      </w:tr>
      <w:tr>
        <w:tc>
          <w:tcPr>
            <w:tcW w:type="dxa" w:w="2880"/>
          </w:tcPr>
          <w:p>
            <w:r>
              <w:t>Suspicious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145.3133</w:t>
            </w:r>
          </w:p>
        </w:tc>
      </w:tr>
    </w:tbl>
    <w:p>
      <w:pPr>
        <w:pStyle w:val="Heading1"/>
      </w:pPr>
      <w:r>
        <w:t>5. Policy Recommendations</w:t>
      </w:r>
    </w:p>
    <w:p>
      <w:r>
        <w:t>Actionable Policy 1 (Critical Risk &gt;= 0.75): Automatically decline the transaction or place a hard freeze on the account until manual review.</w:t>
      </w:r>
    </w:p>
    <w:p>
      <w:r>
        <w:t>Actionable Policy 2 (Suspicious Risk 0.40 - 0.74): Step-up authentication. Trigger SMS MFA or a biometric challenge before allowing the transaction to proceed.</w:t>
      </w:r>
    </w:p>
    <w:p>
      <w:pPr>
        <w:pStyle w:val="Heading1"/>
      </w:pPr>
      <w:r>
        <w:t>6. Estimated Annual Savings</w:t>
      </w:r>
    </w:p>
    <w:p>
      <w:r>
        <w:t>The model identified approximately $108,467 of attempted fraud within the 20% test split alone. Assuming a similar distribution across the entire year, the annualized prevented fraud loss equates to roughly $542,336 per year. Implementing the step-up authentication will block this volume without drastically impacting the friction for the 96.5% of legitimate users.</w:t>
      </w:r>
    </w:p>
    <w:p>
      <w:pPr>
        <w:pStyle w:val="Heading1"/>
      </w:pPr>
      <w:r>
        <w:t>7. Limitations &amp; Future Data</w:t>
      </w:r>
    </w:p>
    <w:p>
      <w:r>
        <w:t>Limitations: Concept drift is a significant issue in fraud detection; adversarial actors will adapt to the rules. Additionally, there is an inherent delay in receiving confirmed fraud labels (chargebacks can take 30-60 days).</w:t>
      </w:r>
    </w:p>
    <w:p>
      <w:r>
        <w:t>Future Enhancements: Incorporating biometric telemetry (e.g., keystroke dynamics, mouse movement speed) and Dark Web compromised card intelligence feeds would drastically reduce false positives.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