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30" w:rsidRPr="00C660D8" w:rsidRDefault="003A1755" w:rsidP="004F4CDC">
      <w:pPr>
        <w:pStyle w:val="NoSpacing"/>
      </w:pPr>
      <w:r>
        <w:t>Real-Time Position Tracking of Medical Devices by analyzing Changes in a Magnetic Field at Pre-Determined Points</w:t>
      </w:r>
    </w:p>
    <w:p w:rsidR="00CF3730" w:rsidRPr="00AF16EC" w:rsidRDefault="00CF3730" w:rsidP="004F4CDC">
      <w:pPr>
        <w:pStyle w:val="NoSpacing"/>
      </w:pPr>
    </w:p>
    <w:p w:rsidR="00EB2402" w:rsidRPr="00F96077" w:rsidRDefault="003A1755" w:rsidP="004F4CDC">
      <w:pPr>
        <w:pStyle w:val="NoSpacing"/>
        <w:rPr>
          <w:vertAlign w:val="superscript"/>
        </w:rPr>
      </w:pPr>
      <w:r>
        <w:t>Mohammad Odeh</w:t>
      </w:r>
      <w:r>
        <w:rPr>
          <w:vertAlign w:val="superscript"/>
        </w:rPr>
        <w:t>1</w:t>
      </w:r>
    </w:p>
    <w:p w:rsidR="00CF3730" w:rsidRPr="003A1755" w:rsidRDefault="003A1755" w:rsidP="004F4CDC">
      <w:pPr>
        <w:pStyle w:val="NoSpacing"/>
        <w:rPr>
          <w:vertAlign w:val="superscript"/>
        </w:rPr>
      </w:pPr>
      <w:r>
        <w:t>Edward Daniel Nichols</w:t>
      </w:r>
      <w:r>
        <w:rPr>
          <w:vertAlign w:val="superscript"/>
        </w:rPr>
        <w:t>1</w:t>
      </w:r>
    </w:p>
    <w:p w:rsidR="003A1755" w:rsidRPr="003A1755" w:rsidRDefault="003A1755" w:rsidP="004F4CDC">
      <w:pPr>
        <w:pStyle w:val="NoSpacing"/>
        <w:rPr>
          <w:vertAlign w:val="superscript"/>
        </w:rPr>
      </w:pPr>
      <w:r>
        <w:t>Fluvio Lobo</w:t>
      </w:r>
      <w:r>
        <w:rPr>
          <w:vertAlign w:val="superscript"/>
        </w:rPr>
        <w:t>1</w:t>
      </w:r>
    </w:p>
    <w:p w:rsidR="003A1755" w:rsidRPr="003A1755" w:rsidRDefault="003A1755" w:rsidP="004F4CDC">
      <w:pPr>
        <w:pStyle w:val="NoSpacing"/>
        <w:rPr>
          <w:vertAlign w:val="superscript"/>
        </w:rPr>
      </w:pPr>
      <w:r>
        <w:t>Jack Stubbs</w:t>
      </w:r>
      <w:r w:rsidR="00CF3730" w:rsidRPr="00E670AE">
        <w:rPr>
          <w:vertAlign w:val="superscript"/>
        </w:rPr>
        <w:t>1</w:t>
      </w:r>
    </w:p>
    <w:p w:rsidR="00CF3730" w:rsidRPr="00C660D8" w:rsidRDefault="00CF3730" w:rsidP="004F4CDC">
      <w:pPr>
        <w:pStyle w:val="NoSpacing"/>
      </w:pPr>
    </w:p>
    <w:p w:rsidR="00F96077" w:rsidRDefault="003A1755" w:rsidP="004F4CDC">
      <w:pPr>
        <w:pStyle w:val="NoSpacing"/>
      </w:pPr>
      <w:r>
        <w:t xml:space="preserve">Institute for Simulation and Training, </w:t>
      </w:r>
    </w:p>
    <w:p w:rsidR="00CF3730" w:rsidRPr="00C660D8" w:rsidRDefault="003A1755" w:rsidP="004F4CDC">
      <w:pPr>
        <w:pStyle w:val="NoSpacing"/>
      </w:pPr>
      <w:r>
        <w:t>University of Central Florida</w:t>
      </w:r>
      <w:r w:rsidR="00CF3730" w:rsidRPr="00E670AE">
        <w:rPr>
          <w:vertAlign w:val="superscript"/>
        </w:rPr>
        <w:t>1</w:t>
      </w:r>
    </w:p>
    <w:p w:rsidR="00CF3730" w:rsidRPr="00AF16EC" w:rsidRDefault="00CF3730" w:rsidP="00CF3730">
      <w:pPr>
        <w:pStyle w:val="Heading1"/>
      </w:pPr>
      <w:r w:rsidRPr="00AF16EC">
        <w:t xml:space="preserve">1 </w:t>
      </w:r>
      <w:r w:rsidRPr="00C660D8">
        <w:t>Background</w:t>
      </w:r>
    </w:p>
    <w:p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motion in a virtual representation of the area around the incision.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[CITATION HERE]</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[CITATION HERE]</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8E366E" w:rsidRPr="004F4CDC">
        <w:t xml:space="preserve">racking surgical instruments inside of organic tissues </w:t>
      </w:r>
      <w:r w:rsidR="000648A1" w:rsidRPr="004F4CDC">
        <w:t>must then be done another way.</w:t>
      </w:r>
    </w:p>
    <w:p w:rsidR="000648A1" w:rsidRPr="004F4CDC" w:rsidRDefault="00792858" w:rsidP="004F4CDC">
      <w:pPr>
        <w:pStyle w:val="NoSpacing"/>
      </w:pPr>
      <w:r w:rsidRPr="004F4CDC">
        <w:tab/>
        <w:t xml:space="preserve">Of the methods investigated by others [CITATION HERE], none </w:t>
      </w:r>
      <w:proofErr w:type="gramStart"/>
      <w:r w:rsidRPr="004F4CDC">
        <w:t>are</w:t>
      </w:r>
      <w:proofErr w:type="gramEnd"/>
      <w:r w:rsidRPr="004F4CDC">
        <w:t xml:space="preserve"> as demonstrably effective</w:t>
      </w:r>
      <w:r w:rsidR="00E64AFF" w:rsidRPr="004F4CDC">
        <w:t>,</w:t>
      </w:r>
      <w:r w:rsidRPr="004F4CDC">
        <w:t xml:space="preserve"> or applicable in a 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830F53" w:rsidRPr="004F4CDC">
        <w:t>, we have constructed a low cost device that enables the tracking of a permanent magnet on a planar surface</w:t>
      </w:r>
      <w:r w:rsidR="004F4CDC" w:rsidRPr="004F4CDC">
        <w:t xml:space="preserve"> to serve as a foundation for future work in this field.</w:t>
      </w:r>
    </w:p>
    <w:p w:rsidR="004F4CDC" w:rsidRDefault="00CF3730" w:rsidP="004F4CDC">
      <w:pPr>
        <w:pStyle w:val="Heading1"/>
      </w:pPr>
      <w:r>
        <w:t>2 Methods</w:t>
      </w:r>
    </w:p>
    <w:p w:rsidR="004F4CDC" w:rsidRDefault="004F4CDC" w:rsidP="004F4CDC">
      <w:pPr>
        <w:pStyle w:val="NoSpacing"/>
      </w:pPr>
      <w:r>
        <w:tab/>
        <w:t xml:space="preserve">Electromagnetic fields are </w:t>
      </w:r>
      <w:r w:rsidR="00D33537">
        <w:t xml:space="preserve">well </w:t>
      </w:r>
      <w:r>
        <w:t>characterized by fundamental principles.</w:t>
      </w:r>
      <w:r w:rsidR="00610E59">
        <w:t xml:space="preserve"> Given a</w:t>
      </w:r>
      <w:r w:rsidR="00D47E64">
        <w:t xml:space="preserve"> magnetic dipole,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33537" w:rsidTr="00D33537">
        <w:tc>
          <w:tcPr>
            <w:tcW w:w="4050" w:type="dxa"/>
          </w:tcPr>
          <w:p w:rsidR="00D33537" w:rsidRPr="00D33537" w:rsidRDefault="00610E59" w:rsidP="004F4CDC">
            <w:pPr>
              <w:pStyle w:val="NoSpacing"/>
            </w:pPr>
            <m:oMathPara>
              <m:oMathParaPr>
                <m:jc m:val="center"/>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vAlign w:val="center"/>
          </w:tcPr>
          <w:p w:rsidR="00D33537" w:rsidRDefault="00D33537" w:rsidP="00D33537">
            <w:pPr>
              <w:pStyle w:val="NoSpacing"/>
              <w:jc w:val="center"/>
            </w:pPr>
            <w:r>
              <w:t>(1)</w:t>
            </w:r>
          </w:p>
        </w:tc>
      </w:tr>
    </w:tbl>
    <w:p w:rsidR="008013EB" w:rsidRDefault="00610E59" w:rsidP="00610E59">
      <w:pPr>
        <w:pStyle w:val="NoSpacing"/>
      </w:pPr>
      <w:r>
        <w:tab/>
        <w:t>Whereby the relationship is dependent on the orientatio</w:t>
      </w:r>
      <w:r w:rsidR="00D47E64">
        <w:t>n of the magnet and</w:t>
      </w:r>
      <w:r>
        <w:t xml:space="preserve"> the strength of its magnetic moment</w:t>
      </w:r>
      <w:r w:rsidR="00D47E64">
        <w:t xml:space="preserve">, given </w:t>
      </w:r>
      <w:proofErr w:type="gramStart"/>
      <w:r w:rsidR="00D47E64">
        <w:t xml:space="preserve">by </w:t>
      </w:r>
      <w:proofErr w:type="gramEnd"/>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 xml:space="preserve">arbitrary point of interest with respect to the center of the magnet, represented by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proofErr w:type="gramStart"/>
      <w:r w:rsidR="00D47E64">
        <w:t xml:space="preserve">field </w:t>
      </w:r>
      <w:proofErr w:type="gramEnd"/>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 would perceive; which may further be broken into a more convenient polar component form:</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40"/>
      </w:tblGrid>
      <w:tr w:rsidR="00D47E64" w:rsidTr="0052479C">
        <w:tc>
          <w:tcPr>
            <w:tcW w:w="4050" w:type="dxa"/>
          </w:tcPr>
          <w:p w:rsidR="00D47E64" w:rsidRPr="00D33537" w:rsidRDefault="00D47E64"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T</m:t>
                        </m:r>
                      </m:sub>
                    </m:sSub>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vAlign w:val="center"/>
          </w:tcPr>
          <w:p w:rsidR="00D47E64" w:rsidRDefault="00D47E64" w:rsidP="0052479C">
            <w:pPr>
              <w:pStyle w:val="NoSpacing"/>
              <w:jc w:val="center"/>
            </w:pPr>
            <w:r>
              <w:t>(2</w:t>
            </w:r>
            <w:r>
              <w:t>)</w:t>
            </w:r>
          </w:p>
        </w:tc>
      </w:tr>
      <w:tr w:rsidR="00D47E64" w:rsidTr="00D47E64">
        <w:tc>
          <w:tcPr>
            <w:tcW w:w="4050" w:type="dxa"/>
          </w:tcPr>
          <w:p w:rsidR="00D47E64" w:rsidRPr="00D33537" w:rsidRDefault="00D47E64" w:rsidP="0052479C">
            <w:pPr>
              <w:pStyle w:val="NoSpacing"/>
            </w:pPr>
            <m:oMathPara>
              <m:oMathParaPr>
                <m:jc m:val="center"/>
              </m:oMathParaPr>
              <m:oMath>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m:rPr>
                            <m:sty m:val="bi"/>
                          </m:rPr>
                          <w:rPr>
                            <w:rFonts w:ascii="Cambria Math" w:hAnsi="Cambria Math"/>
                          </w:rPr>
                          <m:t>∅</m:t>
                        </m:r>
                      </m:sub>
                    </m:sSub>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40" w:type="dxa"/>
          </w:tcPr>
          <w:p w:rsidR="00D47E64" w:rsidRDefault="00D47E64" w:rsidP="0052479C">
            <w:pPr>
              <w:pStyle w:val="NoSpacing"/>
              <w:jc w:val="center"/>
            </w:pPr>
            <w:r>
              <w:t>(3</w:t>
            </w:r>
            <w:r>
              <w:t>)</w:t>
            </w:r>
          </w:p>
        </w:tc>
      </w:tr>
    </w:tbl>
    <w:p w:rsidR="00D47E64" w:rsidRPr="00D47E64" w:rsidRDefault="00D47E64" w:rsidP="00610E59">
      <w:pPr>
        <w:pStyle w:val="NoSpacing"/>
      </w:pPr>
    </w:p>
    <w:p w:rsidR="00D33537" w:rsidRDefault="00D33537" w:rsidP="00D33537">
      <w:pPr>
        <w:pStyle w:val="NoSpacing"/>
      </w:pPr>
      <w:r>
        <w:tab/>
      </w:r>
    </w:p>
    <w:p w:rsidR="00D33537" w:rsidRPr="008013EB" w:rsidRDefault="00D33537" w:rsidP="00D33537">
      <w:pPr>
        <w:pStyle w:val="NoSpacing"/>
      </w:pPr>
      <w:r>
        <w:tab/>
        <w:t xml:space="preserve">This </w:t>
      </w:r>
    </w:p>
    <w:p w:rsidR="008013EB" w:rsidRPr="004F4CDC" w:rsidRDefault="008013EB" w:rsidP="004F4CDC">
      <w:pPr>
        <w:pStyle w:val="NoSpacing"/>
      </w:pPr>
    </w:p>
    <w:p w:rsidR="00733BE6" w:rsidRPr="001D574A" w:rsidRDefault="00733BE6" w:rsidP="004F4CDC">
      <w:pPr>
        <w:pStyle w:val="NoSpacing"/>
        <w:numPr>
          <w:ilvl w:val="0"/>
          <w:numId w:val="3"/>
        </w:numPr>
      </w:pPr>
      <w:r>
        <w:t>Outline of analytical foundations</w:t>
      </w:r>
    </w:p>
    <w:p w:rsidR="00733BE6" w:rsidRDefault="00733BE6" w:rsidP="004F4CDC">
      <w:pPr>
        <w:pStyle w:val="NoSpacing"/>
        <w:numPr>
          <w:ilvl w:val="1"/>
          <w:numId w:val="3"/>
        </w:numPr>
      </w:pPr>
      <w:r>
        <w:t>Fundamental concepts on EMF</w:t>
      </w:r>
    </w:p>
    <w:p w:rsidR="00733BE6" w:rsidRDefault="00733BE6" w:rsidP="004F4CDC">
      <w:pPr>
        <w:pStyle w:val="NoSpacing"/>
        <w:numPr>
          <w:ilvl w:val="1"/>
          <w:numId w:val="3"/>
        </w:numPr>
      </w:pPr>
      <w:r>
        <w:t>Identify constraints/assumptions</w:t>
      </w:r>
    </w:p>
    <w:p w:rsidR="00733BE6" w:rsidRDefault="00733BE6" w:rsidP="004F4CDC">
      <w:pPr>
        <w:pStyle w:val="NoSpacing"/>
        <w:numPr>
          <w:ilvl w:val="1"/>
          <w:numId w:val="3"/>
        </w:numPr>
      </w:pPr>
      <w:r>
        <w:t>Deriving a value of “K” for an arbitrary magnet</w:t>
      </w:r>
    </w:p>
    <w:p w:rsidR="00733BE6" w:rsidRPr="00733BE6" w:rsidRDefault="00733BE6" w:rsidP="004F4CDC">
      <w:pPr>
        <w:pStyle w:val="NoSpacing"/>
        <w:numPr>
          <w:ilvl w:val="1"/>
          <w:numId w:val="3"/>
        </w:numPr>
      </w:pPr>
      <w:r>
        <w:t>Empirical approx. of K</w:t>
      </w:r>
    </w:p>
    <w:p w:rsidR="001D574A" w:rsidRPr="001D574A" w:rsidRDefault="001D574A" w:rsidP="004F4CDC">
      <w:pPr>
        <w:pStyle w:val="NoSpacing"/>
        <w:numPr>
          <w:ilvl w:val="0"/>
          <w:numId w:val="3"/>
        </w:numPr>
      </w:pPr>
      <w:r>
        <w:t>Summary of system iterations and design inspirations.</w:t>
      </w:r>
    </w:p>
    <w:p w:rsidR="00F96077" w:rsidRDefault="001D574A" w:rsidP="004F4CDC">
      <w:pPr>
        <w:pStyle w:val="NoSpacing"/>
        <w:numPr>
          <w:ilvl w:val="0"/>
          <w:numId w:val="3"/>
        </w:numPr>
      </w:pPr>
      <w:r>
        <w:t>Exhaustive explanation of devices and system configuration.</w:t>
      </w:r>
    </w:p>
    <w:p w:rsidR="001D574A" w:rsidRDefault="001D574A" w:rsidP="004F4CDC">
      <w:pPr>
        <w:pStyle w:val="NoSpacing"/>
        <w:numPr>
          <w:ilvl w:val="1"/>
          <w:numId w:val="3"/>
        </w:numPr>
      </w:pPr>
      <w:r>
        <w:t>A nice “Fig. 1”</w:t>
      </w:r>
    </w:p>
    <w:p w:rsidR="001D574A" w:rsidRDefault="006D4F0E" w:rsidP="004F4CDC">
      <w:pPr>
        <w:pStyle w:val="NoSpacing"/>
        <w:numPr>
          <w:ilvl w:val="0"/>
          <w:numId w:val="3"/>
        </w:numPr>
      </w:pPr>
      <w:r>
        <w:t>Explanation</w:t>
      </w:r>
      <w:r w:rsidR="001D574A">
        <w:t xml:space="preserve"> of computational approach</w:t>
      </w:r>
    </w:p>
    <w:p w:rsidR="001D574A" w:rsidRDefault="006D4F0E" w:rsidP="004F4CDC">
      <w:pPr>
        <w:pStyle w:val="NoSpacing"/>
        <w:numPr>
          <w:ilvl w:val="1"/>
          <w:numId w:val="3"/>
        </w:numPr>
      </w:pPr>
      <w:r>
        <w:t>Identify key libraries and modules</w:t>
      </w:r>
    </w:p>
    <w:p w:rsidR="001D574A" w:rsidRDefault="001D574A" w:rsidP="004F4CDC">
      <w:pPr>
        <w:pStyle w:val="NoSpacing"/>
        <w:numPr>
          <w:ilvl w:val="1"/>
          <w:numId w:val="3"/>
        </w:numPr>
      </w:pPr>
      <w:r>
        <w:t>Newton-Raphson Method</w:t>
      </w:r>
    </w:p>
    <w:p w:rsidR="006D4F0E" w:rsidRDefault="006D4F0E" w:rsidP="004F4CDC">
      <w:pPr>
        <w:pStyle w:val="NoSpacing"/>
        <w:numPr>
          <w:ilvl w:val="1"/>
          <w:numId w:val="3"/>
        </w:numPr>
      </w:pPr>
      <w:r>
        <w:t>Optimization approach</w:t>
      </w:r>
    </w:p>
    <w:p w:rsidR="006D4F0E" w:rsidRDefault="006D4F0E" w:rsidP="004F4CDC">
      <w:pPr>
        <w:pStyle w:val="NoSpacing"/>
      </w:pPr>
    </w:p>
    <w:p w:rsidR="00CF3730" w:rsidRPr="006D4F0E" w:rsidRDefault="00CF3730" w:rsidP="004F4CDC">
      <w:pPr>
        <w:pStyle w:val="NoSpacing"/>
      </w:pPr>
      <w:r>
        <w:tab/>
      </w:r>
      <w:r w:rsidRPr="0018709F">
        <w:t>See the “Writing a Technical Paper or Brief” section, under Guidelines at the ASME Journal Tool Author Help (</w:t>
      </w:r>
      <w:hyperlink r:id="rId6" w:history="1">
        <w:r w:rsidRPr="0018709F">
          <w:rPr>
            <w:rStyle w:val="Hyperlink"/>
            <w:b/>
          </w:rPr>
          <w:t>http://tinyurl.com/</w:t>
        </w:r>
        <w:r w:rsidRPr="0018709F">
          <w:rPr>
            <w:rStyle w:val="Hyperlink"/>
            <w:b/>
          </w:rPr>
          <w:t>4</w:t>
        </w:r>
        <w:r w:rsidRPr="0018709F">
          <w:rPr>
            <w:rStyle w:val="Hyperlink"/>
            <w:b/>
          </w:rPr>
          <w:t>3chze9</w:t>
        </w:r>
      </w:hyperlink>
      <w:r w:rsidRPr="0018709F">
        <w:t xml:space="preserve">) for handling mathematics, </w:t>
      </w:r>
      <w:r w:rsidR="006D4F0E">
        <w:t xml:space="preserve">equations, figures and tables. </w:t>
      </w:r>
    </w:p>
    <w:p w:rsidR="00CF3730" w:rsidRPr="00AF16EC" w:rsidRDefault="00CF3730" w:rsidP="00CF3730">
      <w:pPr>
        <w:pStyle w:val="Heading1"/>
      </w:pPr>
      <w:r>
        <w:t>3 Results</w:t>
      </w:r>
    </w:p>
    <w:p w:rsidR="000B34B3" w:rsidRPr="000B34B3" w:rsidRDefault="000B34B3" w:rsidP="004F4CDC">
      <w:pPr>
        <w:pStyle w:val="NoSpacing"/>
        <w:numPr>
          <w:ilvl w:val="0"/>
          <w:numId w:val="4"/>
        </w:numPr>
      </w:pPr>
      <w:r>
        <w:t>Examples of data plot</w:t>
      </w:r>
    </w:p>
    <w:p w:rsidR="000B34B3" w:rsidRPr="000B34B3" w:rsidRDefault="000B34B3" w:rsidP="004F4CDC">
      <w:pPr>
        <w:pStyle w:val="NoSpacing"/>
        <w:numPr>
          <w:ilvl w:val="0"/>
          <w:numId w:val="4"/>
        </w:numPr>
      </w:pPr>
      <w:r>
        <w:t>Speed of the data</w:t>
      </w:r>
    </w:p>
    <w:p w:rsidR="006D4F0E" w:rsidRPr="008923AE" w:rsidRDefault="000B34B3" w:rsidP="004F4CDC">
      <w:pPr>
        <w:pStyle w:val="NoSpacing"/>
        <w:numPr>
          <w:ilvl w:val="0"/>
          <w:numId w:val="4"/>
        </w:numPr>
      </w:pPr>
      <w:r>
        <w:t>Accuracy and precision</w:t>
      </w:r>
    </w:p>
    <w:p w:rsidR="000B34B3" w:rsidRPr="000B34B3" w:rsidRDefault="000B34B3" w:rsidP="004F4CDC">
      <w:pPr>
        <w:pStyle w:val="NoSpacing"/>
        <w:numPr>
          <w:ilvl w:val="0"/>
          <w:numId w:val="4"/>
        </w:numPr>
      </w:pPr>
      <w:r>
        <w:t>Discuss permeability of materials to magnetic flux</w:t>
      </w:r>
    </w:p>
    <w:p w:rsidR="006D4F0E" w:rsidRDefault="006D4F0E" w:rsidP="004F4CDC">
      <w:pPr>
        <w:pStyle w:val="NoSpacing"/>
      </w:pPr>
    </w:p>
    <w:p w:rsidR="00CF3730" w:rsidRPr="00425F8F" w:rsidRDefault="006D4F0E" w:rsidP="004F4CDC">
      <w:pPr>
        <w:pStyle w:val="NoSpacing"/>
      </w:pPr>
      <w:r>
        <w:tab/>
      </w:r>
      <w:r w:rsidR="00CF3730" w:rsidRPr="00425F8F">
        <w:t>The Results section describes the evaluation of the design or the experimental methods.</w:t>
      </w:r>
    </w:p>
    <w:p w:rsidR="00CF3730" w:rsidRPr="00AF16EC" w:rsidRDefault="00CF3730" w:rsidP="00CF3730">
      <w:pPr>
        <w:pStyle w:val="Heading1"/>
      </w:pPr>
      <w:r>
        <w:t>4 Interpretation</w:t>
      </w:r>
    </w:p>
    <w:p w:rsidR="00CF3730" w:rsidRPr="00425F8F" w:rsidRDefault="00CF3730" w:rsidP="004F4CDC">
      <w:pPr>
        <w:pStyle w:val="NoSpacing"/>
      </w:pPr>
      <w:r>
        <w:tab/>
      </w:r>
      <w:r w:rsidRPr="00425F8F">
        <w:t xml:space="preserve">The Interpretation section provides an interpretation of the results and conclusions of the study. </w:t>
      </w:r>
    </w:p>
    <w:p w:rsidR="008923AE" w:rsidRPr="008923AE" w:rsidRDefault="008923AE" w:rsidP="004F4CDC">
      <w:pPr>
        <w:pStyle w:val="NoSpacing"/>
        <w:numPr>
          <w:ilvl w:val="0"/>
          <w:numId w:val="6"/>
        </w:numPr>
      </w:pPr>
      <w:r>
        <w:t>Limitations of the approach</w:t>
      </w:r>
    </w:p>
    <w:p w:rsidR="008923AE" w:rsidRPr="008923AE" w:rsidRDefault="008923AE" w:rsidP="004F4CDC">
      <w:pPr>
        <w:pStyle w:val="NoSpacing"/>
        <w:numPr>
          <w:ilvl w:val="1"/>
          <w:numId w:val="6"/>
        </w:numPr>
      </w:pPr>
      <w:r>
        <w:t>Fixed Initial Position</w:t>
      </w:r>
    </w:p>
    <w:p w:rsidR="008923AE" w:rsidRPr="008923AE" w:rsidRDefault="008923AE" w:rsidP="004F4CDC">
      <w:pPr>
        <w:pStyle w:val="NoSpacing"/>
        <w:numPr>
          <w:ilvl w:val="1"/>
          <w:numId w:val="6"/>
        </w:numPr>
      </w:pPr>
    </w:p>
    <w:p w:rsidR="008923AE" w:rsidRPr="008923AE" w:rsidRDefault="008923AE" w:rsidP="004F4CDC">
      <w:pPr>
        <w:pStyle w:val="NoSpacing"/>
        <w:numPr>
          <w:ilvl w:val="0"/>
          <w:numId w:val="6"/>
        </w:numPr>
      </w:pPr>
      <w:r>
        <w:t>Other c</w:t>
      </w:r>
      <w:r>
        <w:t>alibration considerations</w:t>
      </w:r>
    </w:p>
    <w:p w:rsidR="00CF3730" w:rsidRDefault="00CF3730" w:rsidP="004F4CDC">
      <w:pPr>
        <w:pStyle w:val="NoSpacing"/>
      </w:pPr>
      <w:r w:rsidRPr="00AF16EC">
        <w:t>.</w:t>
      </w:r>
    </w:p>
    <w:p w:rsidR="00CF3730" w:rsidRDefault="00CF3730" w:rsidP="004F4CDC">
      <w:pPr>
        <w:pStyle w:val="NoSpacing"/>
      </w:pPr>
    </w:p>
    <w:p w:rsidR="00CF3730" w:rsidRDefault="00CF3730" w:rsidP="00CF3730">
      <w:pPr>
        <w:pStyle w:val="Heading1"/>
      </w:pPr>
      <w:r>
        <w:t>References</w:t>
      </w:r>
    </w:p>
    <w:p w:rsidR="00CF3730" w:rsidRDefault="00CF3730" w:rsidP="004F4CDC">
      <w:pPr>
        <w:pStyle w:val="NoSpacing"/>
      </w:pPr>
      <w:r>
        <w:tab/>
        <w:t>References follow ASME style, described in See the “Writing a Technical Paper or Brief” section, under Guidelines at the ASME Journal Tool Author Help (</w:t>
      </w:r>
      <w:hyperlink r:id="rId7" w:history="1">
        <w:r w:rsidRPr="0077638A">
          <w:rPr>
            <w:rStyle w:val="Hyperlink"/>
          </w:rPr>
          <w:t>http://tinyurl.com/43chze9</w:t>
        </w:r>
      </w:hyperlink>
      <w:r>
        <w:t>)</w:t>
      </w:r>
    </w:p>
    <w:p w:rsidR="00CF3730" w:rsidRDefault="00CF3730" w:rsidP="004F4CDC">
      <w:pPr>
        <w:pStyle w:val="NoSpacing"/>
      </w:pPr>
    </w:p>
    <w:p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rsidR="00CF3730" w:rsidRDefault="00CF3730" w:rsidP="004F4CDC">
      <w:pPr>
        <w:pStyle w:val="NoSpacing"/>
        <w:numPr>
          <w:ilvl w:val="1"/>
          <w:numId w:val="1"/>
        </w:numPr>
      </w:pPr>
      <w:r w:rsidRPr="00FD2C5F">
        <w:t xml:space="preserve">Brigitte, M., Max, S., </w:t>
      </w:r>
      <w:proofErr w:type="spellStart"/>
      <w:r w:rsidRPr="00FD2C5F">
        <w:t>Juergen</w:t>
      </w:r>
      <w:proofErr w:type="spellEnd"/>
      <w:r w:rsidRPr="00FD2C5F">
        <w:t xml:space="preserve">, H., Peter, M., Bernd, K., &amp; Eckhart Georg, H. (1999). 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xml:space="preserve">: a prospective, randomized trial. Gastrointestinal Endoscopy, </w:t>
      </w:r>
      <w:r w:rsidRPr="00FD2C5F">
        <w:lastRenderedPageBreak/>
        <w:t>50461-467</w:t>
      </w:r>
      <w:r>
        <w:t>. d</w:t>
      </w:r>
      <w:r w:rsidRPr="00FD2C5F">
        <w:t>oi:10.1016/S0016-5107(99)70066-0</w:t>
      </w:r>
    </w:p>
    <w:p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rsidR="00733BE6" w:rsidRDefault="00733BE6" w:rsidP="004F4CDC">
      <w:pPr>
        <w:pStyle w:val="NoSpacing"/>
      </w:pPr>
    </w:p>
    <w:p w:rsidR="00733BE6" w:rsidRDefault="00733BE6" w:rsidP="004F4CDC">
      <w:pPr>
        <w:pStyle w:val="NoSpacing"/>
      </w:pPr>
      <w:r>
        <w:t>[FORMATTING NOTES]</w:t>
      </w:r>
      <w:r w:rsidRPr="00AF16EC">
        <w:tab/>
      </w:r>
    </w:p>
    <w:p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rsidR="00733BE6" w:rsidRPr="00425F8F" w:rsidRDefault="00733BE6" w:rsidP="004F4CDC">
      <w:pPr>
        <w:pStyle w:val="NoSpacing"/>
        <w:numPr>
          <w:ilvl w:val="0"/>
          <w:numId w:val="1"/>
        </w:numPr>
      </w:pPr>
      <w:r w:rsidRPr="00425F8F">
        <w:tab/>
        <w:t>Font for title, headers, body text is Times. Body text is 9 point. Title is 14-point bold. Authors and affiliation are 11-point with author names in bold</w:t>
      </w:r>
      <w:proofErr w:type="gramStart"/>
      <w:r w:rsidRPr="00425F8F">
        <w:t>..</w:t>
      </w:r>
      <w:proofErr w:type="gramEnd"/>
      <w:r w:rsidRPr="00425F8F">
        <w:t xml:space="preserve"> </w:t>
      </w:r>
    </w:p>
    <w:p w:rsidR="00733BE6" w:rsidRPr="00425F8F" w:rsidRDefault="00733BE6" w:rsidP="004F4CDC">
      <w:pPr>
        <w:pStyle w:val="NoSpacing"/>
        <w:numPr>
          <w:ilvl w:val="0"/>
          <w:numId w:val="1"/>
        </w:numPr>
      </w:pPr>
      <w:r w:rsidRPr="00425F8F">
        <w:tab/>
        <w:t xml:space="preserve">New paragraphs are indented by 0.2 inches, no blank line between paragraphs. </w:t>
      </w:r>
    </w:p>
    <w:p w:rsidR="00733BE6" w:rsidRDefault="00733BE6" w:rsidP="004F4CDC">
      <w:pPr>
        <w:pStyle w:val="NoSpacing"/>
        <w:numPr>
          <w:ilvl w:val="0"/>
          <w:numId w:val="1"/>
        </w:numPr>
      </w:pPr>
      <w:r w:rsidRPr="00425F8F">
        <w:tab/>
        <w:t xml:space="preserve">There are no page numbers. </w:t>
      </w:r>
    </w:p>
    <w:p w:rsidR="00733BE6" w:rsidRPr="00425F8F" w:rsidRDefault="00733BE6" w:rsidP="004F4CDC">
      <w:pPr>
        <w:pStyle w:val="NoSpacing"/>
        <w:numPr>
          <w:ilvl w:val="0"/>
          <w:numId w:val="1"/>
        </w:numPr>
      </w:pPr>
      <w:r>
        <w:tab/>
      </w:r>
      <w:r w:rsidRPr="00FD2C5F">
        <w:t>Provide definition for all acronyms. Example: deep brain stimulation (DBS)</w:t>
      </w:r>
    </w:p>
    <w:p w:rsidR="00733BE6" w:rsidRPr="00425F8F" w:rsidRDefault="00733BE6" w:rsidP="004F4CDC">
      <w:pPr>
        <w:pStyle w:val="NoSpacing"/>
        <w:numPr>
          <w:ilvl w:val="0"/>
          <w:numId w:val="1"/>
        </w:numPr>
      </w:pPr>
      <w:r w:rsidRPr="00425F8F">
        <w:tab/>
        <w:t xml:space="preserve">When in doubt, look at an article in an ASME journal. </w:t>
      </w:r>
    </w:p>
    <w:p w:rsidR="00733BE6" w:rsidRPr="00FD2C5F" w:rsidRDefault="00733BE6" w:rsidP="004F4CDC">
      <w:pPr>
        <w:pStyle w:val="NoSpacing"/>
      </w:pPr>
    </w:p>
    <w:p w:rsidR="00CF3730" w:rsidRDefault="00CF3730" w:rsidP="004F4CDC">
      <w:pPr>
        <w:pStyle w:val="NoSpacing"/>
      </w:pPr>
    </w:p>
    <w:p w:rsidR="00CF3730" w:rsidRPr="00AF16EC" w:rsidRDefault="00CF3730" w:rsidP="004F4CDC">
      <w:pPr>
        <w:pStyle w:val="NoSpacing"/>
      </w:pPr>
    </w:p>
    <w:p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8709F"/>
    <w:rsid w:val="001D574A"/>
    <w:rsid w:val="001F2BBA"/>
    <w:rsid w:val="00221B76"/>
    <w:rsid w:val="002A3D88"/>
    <w:rsid w:val="002E456F"/>
    <w:rsid w:val="003A1755"/>
    <w:rsid w:val="003D1391"/>
    <w:rsid w:val="003F2BD3"/>
    <w:rsid w:val="00425F8F"/>
    <w:rsid w:val="004C22BA"/>
    <w:rsid w:val="004F4CDC"/>
    <w:rsid w:val="00561F81"/>
    <w:rsid w:val="00582808"/>
    <w:rsid w:val="00610E59"/>
    <w:rsid w:val="006D4F0E"/>
    <w:rsid w:val="00733BE6"/>
    <w:rsid w:val="00790767"/>
    <w:rsid w:val="00792858"/>
    <w:rsid w:val="007931EB"/>
    <w:rsid w:val="008013EB"/>
    <w:rsid w:val="00830F53"/>
    <w:rsid w:val="008923AE"/>
    <w:rsid w:val="008B6BD5"/>
    <w:rsid w:val="008E366E"/>
    <w:rsid w:val="008F56C3"/>
    <w:rsid w:val="009F35A3"/>
    <w:rsid w:val="00A23D61"/>
    <w:rsid w:val="00A87AE3"/>
    <w:rsid w:val="00AF16EC"/>
    <w:rsid w:val="00BB3537"/>
    <w:rsid w:val="00C660D8"/>
    <w:rsid w:val="00CB0FC8"/>
    <w:rsid w:val="00CF3730"/>
    <w:rsid w:val="00D33537"/>
    <w:rsid w:val="00D47E64"/>
    <w:rsid w:val="00E64AFF"/>
    <w:rsid w:val="00E670AE"/>
    <w:rsid w:val="00EB2402"/>
    <w:rsid w:val="00EF797F"/>
    <w:rsid w:val="00F673C1"/>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6D5"/>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43chz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43chze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3BEC-0662-4DD1-B949-E548143A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5281</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3</cp:revision>
  <dcterms:created xsi:type="dcterms:W3CDTF">2017-10-02T21:52:00Z</dcterms:created>
  <dcterms:modified xsi:type="dcterms:W3CDTF">2017-10-02T22:37:00Z</dcterms:modified>
</cp:coreProperties>
</file>