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A6DFC" w:rsidR="0002241C" w:rsidP="0002241C" w:rsidRDefault="0CF7769E" w14:paraId="360BA628" w14:textId="5CFF01E8">
      <w:pPr>
        <w:pStyle w:val="NormalWeb"/>
        <w:rPr>
          <w:rFonts w:ascii="MetaPro-Norm" w:hAnsi="MetaPro-Norm"/>
          <w:color w:val="000000"/>
        </w:rPr>
      </w:pPr>
      <w:r w:rsidRPr="5CB08429" w:rsidR="0CF7769E">
        <w:rPr>
          <w:rFonts w:ascii="MetaPro-Norm" w:hAnsi="MetaPro-Norm"/>
          <w:color w:val="000000" w:themeColor="text1" w:themeTint="FF" w:themeShade="FF"/>
        </w:rPr>
        <w:t>December 1</w:t>
      </w:r>
      <w:r w:rsidRPr="5CB08429" w:rsidR="580DBDF0">
        <w:rPr>
          <w:rFonts w:ascii="MetaPro-Norm" w:hAnsi="MetaPro-Norm"/>
          <w:color w:val="000000" w:themeColor="text1" w:themeTint="FF" w:themeShade="FF"/>
        </w:rPr>
        <w:t>7</w:t>
      </w:r>
      <w:r w:rsidRPr="5CB08429" w:rsidR="003E4EF4">
        <w:rPr>
          <w:rFonts w:ascii="MetaPro-Norm" w:hAnsi="MetaPro-Norm"/>
          <w:color w:val="000000" w:themeColor="text1" w:themeTint="FF" w:themeShade="FF"/>
        </w:rPr>
        <w:t>, 2021</w:t>
      </w:r>
    </w:p>
    <w:p w:rsidR="5CB08429" w:rsidP="5CB08429" w:rsidRDefault="5CB08429" w14:paraId="359C92EE" w14:textId="0A73AA95">
      <w:pPr>
        <w:pStyle w:val="NormalWeb"/>
        <w:rPr>
          <w:rFonts w:ascii="MetaPro-Norm" w:hAnsi="MetaPro-Norm" w:eastAsia="Times New Roman" w:cs="Times New Roman"/>
          <w:color w:val="000000" w:themeColor="text1" w:themeTint="FF" w:themeShade="FF"/>
        </w:rPr>
      </w:pPr>
    </w:p>
    <w:p w:rsidR="0092185A" w:rsidP="0092185A" w:rsidRDefault="00F6350F" w14:paraId="2B9A2BEE" w14:textId="60A24FF9">
      <w:pPr>
        <w:rPr>
          <w:rFonts w:ascii="MetaPro-Norm" w:hAnsi="MetaPro-Norm"/>
        </w:rPr>
      </w:pPr>
      <w:r>
        <w:rPr>
          <w:rFonts w:ascii="MetaPro-Norm" w:hAnsi="MetaPro-Norm"/>
        </w:rPr>
        <w:t xml:space="preserve">Los Angeles </w:t>
      </w:r>
      <w:r w:rsidR="00CC7306">
        <w:rPr>
          <w:rFonts w:ascii="MetaPro-Norm" w:hAnsi="MetaPro-Norm"/>
        </w:rPr>
        <w:t xml:space="preserve">City </w:t>
      </w:r>
      <w:r>
        <w:rPr>
          <w:rFonts w:ascii="MetaPro-Norm" w:hAnsi="MetaPro-Norm"/>
        </w:rPr>
        <w:t>Attorney</w:t>
      </w:r>
    </w:p>
    <w:p w:rsidRPr="0001156A" w:rsidR="0001156A" w:rsidP="0001156A" w:rsidRDefault="0001156A" w14:paraId="6D6A9AD7" w14:textId="77777777">
      <w:pPr>
        <w:rPr>
          <w:rFonts w:ascii="MetaPro-Norm" w:hAnsi="MetaPro-Norm"/>
        </w:rPr>
      </w:pPr>
      <w:r w:rsidRPr="0001156A">
        <w:rPr>
          <w:rFonts w:ascii="MetaPro-Norm" w:hAnsi="MetaPro-Norm"/>
        </w:rPr>
        <w:t>City Hall East, Suite 800</w:t>
      </w:r>
    </w:p>
    <w:p w:rsidRPr="00DD209F" w:rsidR="0001156A" w:rsidP="0001156A" w:rsidRDefault="0001156A" w14:paraId="2DC314CE" w14:textId="77777777">
      <w:pPr>
        <w:rPr>
          <w:rFonts w:ascii="MetaPro-Norm" w:hAnsi="MetaPro-Norm"/>
        </w:rPr>
      </w:pPr>
      <w:r w:rsidRPr="00DD209F">
        <w:rPr>
          <w:rFonts w:ascii="MetaPro-Norm" w:hAnsi="MetaPro-Norm"/>
        </w:rPr>
        <w:t>Los Angeles, CA 90012</w:t>
      </w:r>
    </w:p>
    <w:p w:rsidRPr="00DD209F" w:rsidR="00522A58" w:rsidP="0002241C" w:rsidRDefault="00522A58" w14:paraId="4210468B" w14:textId="77777777">
      <w:pPr>
        <w:rPr>
          <w:rFonts w:ascii="MetaPro-Norm" w:hAnsi="MetaPro-Norm"/>
        </w:rPr>
      </w:pPr>
    </w:p>
    <w:p w:rsidRPr="00DD209F" w:rsidR="0002241C" w:rsidP="0002241C" w:rsidRDefault="003E4EF4" w14:paraId="56D21B7B" w14:textId="6096C327">
      <w:pPr>
        <w:rPr>
          <w:rFonts w:ascii="MetaPro-Norm" w:hAnsi="MetaPro-Norm"/>
        </w:rPr>
      </w:pPr>
      <w:r w:rsidRPr="00DD209F">
        <w:rPr>
          <w:rFonts w:ascii="MetaPro-Norm" w:hAnsi="MetaPro-Norm"/>
        </w:rPr>
        <w:t xml:space="preserve">Dear </w:t>
      </w:r>
      <w:r w:rsidRPr="00DD209F" w:rsidR="00CC7306">
        <w:rPr>
          <w:rFonts w:ascii="MetaPro-Norm" w:hAnsi="MetaPro-Norm"/>
        </w:rPr>
        <w:t>Mr. Feu</w:t>
      </w:r>
      <w:r w:rsidRPr="00DD209F" w:rsidR="0001156A">
        <w:rPr>
          <w:rFonts w:ascii="MetaPro-Norm" w:hAnsi="MetaPro-Norm"/>
        </w:rPr>
        <w:t>e</w:t>
      </w:r>
      <w:r w:rsidRPr="00DD209F" w:rsidR="00CC7306">
        <w:rPr>
          <w:rFonts w:ascii="MetaPro-Norm" w:hAnsi="MetaPro-Norm"/>
        </w:rPr>
        <w:t>r</w:t>
      </w:r>
      <w:r w:rsidRPr="00DD209F">
        <w:rPr>
          <w:rFonts w:ascii="MetaPro-Norm" w:hAnsi="MetaPro-Norm"/>
        </w:rPr>
        <w:t>,</w:t>
      </w:r>
    </w:p>
    <w:p w:rsidRPr="00DD209F" w:rsidR="0002241C" w:rsidP="0002241C" w:rsidRDefault="0002241C" w14:paraId="557531AC" w14:textId="77777777">
      <w:pPr>
        <w:rPr>
          <w:rFonts w:ascii="MetaPro-Norm" w:hAnsi="MetaPro-Norm"/>
        </w:rPr>
      </w:pPr>
    </w:p>
    <w:p w:rsidRPr="00FA6DFC" w:rsidR="0002241C" w:rsidP="0002241C" w:rsidRDefault="003E4EF4" w14:paraId="0BFF7438" w14:textId="707EF76E">
      <w:pPr>
        <w:rPr>
          <w:rFonts w:ascii="MetaPro-Norm" w:hAnsi="MetaPro-Norm"/>
          <w:color w:val="000000"/>
        </w:rPr>
      </w:pPr>
      <w:r w:rsidRPr="00FA6DFC">
        <w:rPr>
          <w:rFonts w:ascii="MetaPro-Norm" w:hAnsi="MetaPro-Norm"/>
          <w:color w:val="000000" w:themeColor="text1"/>
        </w:rPr>
        <w:t xml:space="preserve">Pursuant to the </w:t>
      </w:r>
      <w:r w:rsidR="00FA6DFC">
        <w:rPr>
          <w:rFonts w:ascii="MetaPro-Norm" w:hAnsi="MetaPro-Norm"/>
          <w:color w:val="000000" w:themeColor="text1"/>
        </w:rPr>
        <w:t xml:space="preserve">California </w:t>
      </w:r>
      <w:r w:rsidR="00FC1126">
        <w:rPr>
          <w:rFonts w:ascii="MetaPro-Norm" w:hAnsi="MetaPro-Norm"/>
          <w:color w:val="000000" w:themeColor="text1"/>
        </w:rPr>
        <w:t>Public Records Act (CPRA) (</w:t>
      </w:r>
      <w:r w:rsidRPr="00FA6DFC">
        <w:rPr>
          <w:rFonts w:ascii="MetaPro-Norm" w:hAnsi="MetaPro-Norm"/>
          <w:color w:val="000000" w:themeColor="text1"/>
        </w:rPr>
        <w:t>Cal. Gov't Code Secs. 6250 through 6276.48</w:t>
      </w:r>
      <w:r w:rsidR="00FC1126">
        <w:rPr>
          <w:rFonts w:ascii="MetaPro-Norm" w:hAnsi="MetaPro-Norm"/>
          <w:color w:val="000000" w:themeColor="text1"/>
        </w:rPr>
        <w:t>)</w:t>
      </w:r>
      <w:r w:rsidRPr="00FA6DFC">
        <w:rPr>
          <w:rFonts w:ascii="MetaPro-Norm" w:hAnsi="MetaPro-Norm"/>
          <w:color w:val="000000" w:themeColor="text1"/>
        </w:rPr>
        <w:t xml:space="preserve">, Human Rights Watch (HRW) </w:t>
      </w:r>
      <w:r w:rsidR="00EF2E50">
        <w:rPr>
          <w:rFonts w:ascii="MetaPro-Norm" w:hAnsi="MetaPro-Norm"/>
          <w:color w:val="000000" w:themeColor="text1"/>
        </w:rPr>
        <w:t xml:space="preserve">seeks records (both data and documents) </w:t>
      </w:r>
      <w:r w:rsidRPr="00FA6DFC">
        <w:rPr>
          <w:rFonts w:ascii="MetaPro-Norm" w:hAnsi="MetaPro-Norm"/>
          <w:color w:val="000000" w:themeColor="text1"/>
        </w:rPr>
        <w:t>pertaining to</w:t>
      </w:r>
      <w:r w:rsidRPr="00FA6DFC" w:rsidR="0035444F">
        <w:rPr>
          <w:rFonts w:ascii="MetaPro-Norm" w:hAnsi="MetaPro-Norm"/>
          <w:color w:val="000000" w:themeColor="text1"/>
        </w:rPr>
        <w:t xml:space="preserve"> </w:t>
      </w:r>
      <w:r w:rsidR="00E3137E">
        <w:rPr>
          <w:rFonts w:ascii="MetaPro-Norm" w:hAnsi="MetaPro-Norm"/>
          <w:color w:val="000000" w:themeColor="text1"/>
        </w:rPr>
        <w:t>the office’s prosecutions of specific offenses</w:t>
      </w:r>
      <w:r w:rsidR="00DD209F">
        <w:rPr>
          <w:rFonts w:ascii="MetaPro-Norm" w:hAnsi="MetaPro-Norm"/>
          <w:color w:val="000000" w:themeColor="text1"/>
        </w:rPr>
        <w:t>.</w:t>
      </w:r>
      <w:r w:rsidRPr="00FA6DFC">
        <w:rPr>
          <w:rFonts w:ascii="MetaPro-Norm" w:hAnsi="MetaPro-Norm"/>
          <w:color w:val="000000" w:themeColor="text1"/>
        </w:rPr>
        <w:t xml:space="preserve"> </w:t>
      </w:r>
    </w:p>
    <w:p w:rsidRPr="00FA6DFC" w:rsidR="0002241C" w:rsidP="0002241C" w:rsidRDefault="0002241C" w14:paraId="621A4EED" w14:textId="77777777">
      <w:pPr>
        <w:rPr>
          <w:rFonts w:ascii="MetaPro-Norm" w:hAnsi="MetaPro-Norm"/>
          <w:sz w:val="22"/>
          <w:szCs w:val="22"/>
        </w:rPr>
      </w:pPr>
    </w:p>
    <w:p w:rsidR="0001156A" w:rsidP="00584488" w:rsidRDefault="003E4EF4" w14:paraId="38C48116" w14:textId="7C2BE3EE">
      <w:pPr>
        <w:rPr>
          <w:rFonts w:ascii="MetaPro-Norm" w:hAnsi="MetaPro-Norm"/>
          <w:color w:val="000000" w:themeColor="text1"/>
        </w:rPr>
      </w:pPr>
      <w:r w:rsidRPr="00FA6DFC">
        <w:rPr>
          <w:rFonts w:ascii="MetaPro-Norm" w:hAnsi="MetaPro-Norm"/>
          <w:color w:val="000000" w:themeColor="text1"/>
        </w:rPr>
        <w:t xml:space="preserve">Human Rights Watch specifically requests records under the CPRA that </w:t>
      </w:r>
      <w:r w:rsidRPr="00FA6DFC" w:rsidR="7719F390">
        <w:rPr>
          <w:rFonts w:ascii="MetaPro-Norm" w:hAnsi="MetaPro-Norm"/>
          <w:color w:val="000000" w:themeColor="text1"/>
        </w:rPr>
        <w:t>a</w:t>
      </w:r>
      <w:r w:rsidRPr="00FA6DFC">
        <w:rPr>
          <w:rFonts w:ascii="MetaPro-Norm" w:hAnsi="MetaPro-Norm"/>
          <w:color w:val="000000" w:themeColor="text1"/>
        </w:rPr>
        <w:t xml:space="preserve">re in the </w:t>
      </w:r>
    </w:p>
    <w:p w:rsidRPr="00E3137E" w:rsidR="00584488" w:rsidP="00584488" w:rsidRDefault="0001156A" w14:paraId="60570E96" w14:textId="0CD5E25C">
      <w:pPr>
        <w:rPr>
          <w:rFonts w:ascii="MetaPro-Norm" w:hAnsi="MetaPro-Norm"/>
          <w:color w:val="000000"/>
        </w:rPr>
      </w:pPr>
      <w:r>
        <w:rPr>
          <w:rFonts w:ascii="MetaPro-Norm" w:hAnsi="MetaPro-Norm"/>
          <w:color w:val="000000" w:themeColor="text1"/>
        </w:rPr>
        <w:t xml:space="preserve">City </w:t>
      </w:r>
      <w:r w:rsidRPr="00E3137E" w:rsidR="00645DB7">
        <w:rPr>
          <w:rFonts w:ascii="MetaPro-Norm" w:hAnsi="MetaPro-Norm"/>
          <w:color w:val="000000" w:themeColor="text1"/>
        </w:rPr>
        <w:t xml:space="preserve">Attorney’s Office’s </w:t>
      </w:r>
      <w:r w:rsidRPr="00E3137E" w:rsidR="003E4EF4">
        <w:rPr>
          <w:rFonts w:ascii="MetaPro-Norm" w:hAnsi="MetaPro-Norm"/>
          <w:color w:val="000000" w:themeColor="text1"/>
        </w:rPr>
        <w:t>possession or control in the following categories:</w:t>
      </w:r>
    </w:p>
    <w:p w:rsidRPr="00E3137E" w:rsidR="0002241C" w:rsidP="0002241C" w:rsidRDefault="0002241C" w14:paraId="2652B7FC" w14:textId="4C7C8715">
      <w:pPr>
        <w:rPr>
          <w:rFonts w:ascii="MetaPro-Norm" w:hAnsi="MetaPro-Norm"/>
        </w:rPr>
      </w:pPr>
    </w:p>
    <w:p w:rsidRPr="00E3137E" w:rsidR="00B87BA9" w:rsidP="00B87BA9" w:rsidRDefault="00B87BA9" w14:paraId="11E0B1D1" w14:textId="5EB1CF3D">
      <w:pPr>
        <w:rPr>
          <w:rFonts w:ascii="MetaPro-Norm" w:hAnsi="MetaPro-Norm"/>
        </w:rPr>
      </w:pPr>
    </w:p>
    <w:p w:rsidRPr="00E3137E" w:rsidR="00281B4B" w:rsidP="00796632" w:rsidRDefault="005A14EF" w14:paraId="01F94F27" w14:textId="01F51401">
      <w:pPr>
        <w:pStyle w:val="ListParagraph"/>
        <w:numPr>
          <w:ilvl w:val="0"/>
          <w:numId w:val="2"/>
        </w:numPr>
        <w:spacing w:after="160" w:line="259" w:lineRule="auto"/>
        <w:rPr>
          <w:rFonts w:ascii="MetaPro-Norm" w:hAnsi="MetaPro-Norm" w:eastAsiaTheme="minorEastAsia"/>
          <w:color w:val="000000" w:themeColor="text1"/>
        </w:rPr>
      </w:pPr>
      <w:r w:rsidRPr="00E3137E">
        <w:rPr>
          <w:rFonts w:ascii="MetaPro-Norm" w:hAnsi="MetaPro-Norm" w:eastAsiaTheme="minorEastAsia" w:cstheme="minorBidi"/>
        </w:rPr>
        <w:t>Data:</w:t>
      </w:r>
      <w:r w:rsidRPr="00E3137E" w:rsidR="00796632">
        <w:rPr>
          <w:rFonts w:ascii="MetaPro-Norm" w:hAnsi="MetaPro-Norm" w:eastAsiaTheme="minorEastAsia" w:cstheme="minorBidi"/>
        </w:rPr>
        <w:t xml:space="preserve"> </w:t>
      </w:r>
      <w:r w:rsidRPr="00E3137E" w:rsidR="00796632">
        <w:rPr>
          <w:rFonts w:ascii="MetaPro-Norm" w:hAnsi="MetaPro-Norm" w:eastAsia="MetaPro-Norm" w:cs="MetaPro-Norm"/>
          <w:color w:val="000000" w:themeColor="text1"/>
        </w:rPr>
        <w:t xml:space="preserve">Data on all </w:t>
      </w:r>
      <w:r w:rsidRPr="00E3137E" w:rsidR="003A1DD4">
        <w:rPr>
          <w:rFonts w:ascii="MetaPro-Norm" w:hAnsi="MetaPro-Norm" w:eastAsia="MetaPro-Norm" w:cs="MetaPro-Norm"/>
          <w:color w:val="000000" w:themeColor="text1"/>
        </w:rPr>
        <w:t>filings or prosecutions</w:t>
      </w:r>
      <w:r w:rsidRPr="00E3137E" w:rsidR="00796632">
        <w:rPr>
          <w:rFonts w:ascii="MetaPro-Norm" w:hAnsi="MetaPro-Norm" w:eastAsia="MetaPro-Norm" w:cs="MetaPro-Norm"/>
          <w:color w:val="000000" w:themeColor="text1"/>
        </w:rPr>
        <w:t xml:space="preserve"> of people charged with any of the following codes</w:t>
      </w:r>
      <w:r w:rsidRPr="00E3137E" w:rsidR="00281B4B">
        <w:rPr>
          <w:rFonts w:ascii="MetaPro-Norm" w:hAnsi="MetaPro-Norm" w:eastAsia="MetaPro-Norm" w:cs="MetaPro-Norm"/>
          <w:color w:val="000000" w:themeColor="text1"/>
        </w:rPr>
        <w:t>:</w:t>
      </w:r>
    </w:p>
    <w:p w:rsidRPr="00DD209F" w:rsidR="002B29EA" w:rsidP="00281B4B" w:rsidRDefault="00796632" w14:paraId="57C32C54" w14:textId="77777777">
      <w:pPr>
        <w:pStyle w:val="ListParagraph"/>
        <w:numPr>
          <w:ilvl w:val="1"/>
          <w:numId w:val="2"/>
        </w:numPr>
        <w:spacing w:after="160" w:line="259" w:lineRule="auto"/>
        <w:rPr>
          <w:rFonts w:ascii="MetaPro-Norm" w:hAnsi="MetaPro-Norm" w:eastAsiaTheme="minorEastAsia"/>
          <w:color w:val="000000" w:themeColor="text1"/>
        </w:rPr>
      </w:pPr>
      <w:r w:rsidRPr="00E3137E">
        <w:rPr>
          <w:rFonts w:ascii="MetaPro-Norm" w:hAnsi="MetaPro-Norm" w:eastAsia="MetaPro-Norm" w:cs="MetaPro-Norm"/>
          <w:color w:val="000000" w:themeColor="text1"/>
        </w:rPr>
        <w:t xml:space="preserve"> </w:t>
      </w:r>
      <w:r w:rsidRPr="00DD209F">
        <w:rPr>
          <w:rFonts w:ascii="MetaPro-Norm" w:hAnsi="MetaPro-Norm" w:eastAsia="MetaPro-Norm" w:cs="MetaPro-Norm"/>
          <w:color w:val="000000" w:themeColor="text1"/>
        </w:rPr>
        <w:t>LA Municipal Codes 41.18</w:t>
      </w:r>
      <w:r w:rsidRPr="00DD209F" w:rsidR="002B29EA">
        <w:rPr>
          <w:rFonts w:ascii="MetaPro-Norm" w:hAnsi="MetaPro-Norm" w:eastAsia="MetaPro-Norm" w:cs="MetaPro-Norm"/>
          <w:color w:val="000000" w:themeColor="text1"/>
        </w:rPr>
        <w:t xml:space="preserve">, </w:t>
      </w:r>
      <w:r w:rsidRPr="00DD209F">
        <w:rPr>
          <w:rFonts w:ascii="MetaPro-Norm" w:hAnsi="MetaPro-Norm" w:eastAsia="MetaPro-Norm" w:cs="MetaPro-Norm"/>
          <w:color w:val="000000" w:themeColor="text1"/>
        </w:rPr>
        <w:t>56.11</w:t>
      </w:r>
      <w:r w:rsidRPr="00DD209F" w:rsidR="002B29EA">
        <w:rPr>
          <w:rFonts w:ascii="MetaPro-Norm" w:hAnsi="MetaPro-Norm" w:eastAsia="MetaPro-Norm" w:cs="MetaPro-Norm"/>
          <w:color w:val="000000" w:themeColor="text1"/>
        </w:rPr>
        <w:t xml:space="preserve">, </w:t>
      </w:r>
      <w:r w:rsidRPr="00DD209F">
        <w:rPr>
          <w:rFonts w:ascii="MetaPro-Norm" w:hAnsi="MetaPro-Norm" w:eastAsia="MetaPro-Norm" w:cs="MetaPro-Norm"/>
          <w:color w:val="000000" w:themeColor="text1"/>
        </w:rPr>
        <w:t>85.02</w:t>
      </w:r>
      <w:r w:rsidRPr="00DD209F" w:rsidR="002B29EA">
        <w:rPr>
          <w:rFonts w:ascii="MetaPro-Norm" w:hAnsi="MetaPro-Norm" w:eastAsia="MetaPro-Norm" w:cs="MetaPro-Norm"/>
          <w:color w:val="000000" w:themeColor="text1"/>
        </w:rPr>
        <w:t xml:space="preserve">, </w:t>
      </w:r>
      <w:r w:rsidRPr="00DD209F">
        <w:rPr>
          <w:rFonts w:ascii="MetaPro-Norm" w:hAnsi="MetaPro-Norm" w:eastAsia="MetaPro-Norm" w:cs="MetaPro-Norm"/>
          <w:color w:val="000000" w:themeColor="text1"/>
        </w:rPr>
        <w:t>63.44(B)</w:t>
      </w:r>
      <w:r w:rsidRPr="00DD209F" w:rsidR="002B29EA">
        <w:rPr>
          <w:rFonts w:ascii="MetaPro-Norm" w:hAnsi="MetaPro-Norm" w:eastAsia="MetaPro-Norm" w:cs="MetaPro-Norm"/>
          <w:color w:val="000000" w:themeColor="text1"/>
        </w:rPr>
        <w:t xml:space="preserve">, or </w:t>
      </w:r>
      <w:r w:rsidRPr="00DD209F">
        <w:rPr>
          <w:rFonts w:ascii="MetaPro-Norm" w:hAnsi="MetaPro-Norm" w:eastAsia="MetaPro-Norm" w:cs="MetaPro-Norm"/>
          <w:color w:val="000000" w:themeColor="text1"/>
        </w:rPr>
        <w:t>41.27</w:t>
      </w:r>
      <w:r w:rsidRPr="00DD209F" w:rsidR="002B29EA">
        <w:rPr>
          <w:rFonts w:ascii="MetaPro-Norm" w:hAnsi="MetaPro-Norm" w:eastAsia="MetaPro-Norm" w:cs="MetaPro-Norm"/>
          <w:color w:val="000000" w:themeColor="text1"/>
        </w:rPr>
        <w:t xml:space="preserve">; </w:t>
      </w:r>
    </w:p>
    <w:p w:rsidRPr="00E3137E" w:rsidR="00DB473B" w:rsidP="00281B4B" w:rsidRDefault="00796632" w14:paraId="1D71EC08" w14:textId="77777777">
      <w:pPr>
        <w:pStyle w:val="ListParagraph"/>
        <w:numPr>
          <w:ilvl w:val="1"/>
          <w:numId w:val="2"/>
        </w:numPr>
        <w:spacing w:after="160" w:line="259" w:lineRule="auto"/>
        <w:rPr>
          <w:rFonts w:ascii="MetaPro-Norm" w:hAnsi="MetaPro-Norm" w:eastAsiaTheme="minorEastAsia"/>
          <w:color w:val="000000" w:themeColor="text1"/>
        </w:rPr>
      </w:pPr>
      <w:r w:rsidRPr="00E3137E">
        <w:rPr>
          <w:rFonts w:ascii="MetaPro-Norm" w:hAnsi="MetaPro-Norm" w:eastAsia="MetaPro-Norm" w:cs="MetaPro-Norm"/>
          <w:color w:val="000000" w:themeColor="text1"/>
        </w:rPr>
        <w:t xml:space="preserve">California Business and Professions Code section </w:t>
      </w:r>
      <w:proofErr w:type="gramStart"/>
      <w:r w:rsidRPr="00E3137E">
        <w:rPr>
          <w:rFonts w:ascii="MetaPro-Norm" w:hAnsi="MetaPro-Norm" w:eastAsia="MetaPro-Norm" w:cs="MetaPro-Norm"/>
          <w:color w:val="000000" w:themeColor="text1"/>
        </w:rPr>
        <w:t>25620</w:t>
      </w:r>
      <w:r w:rsidRPr="00E3137E" w:rsidR="00DB473B">
        <w:rPr>
          <w:rFonts w:ascii="MetaPro-Norm" w:hAnsi="MetaPro-Norm" w:eastAsia="MetaPro-Norm" w:cs="MetaPro-Norm"/>
          <w:color w:val="000000" w:themeColor="text1"/>
        </w:rPr>
        <w:t>;</w:t>
      </w:r>
      <w:proofErr w:type="gramEnd"/>
      <w:r w:rsidRPr="00E3137E" w:rsidR="00DB473B">
        <w:rPr>
          <w:rFonts w:ascii="MetaPro-Norm" w:hAnsi="MetaPro-Norm" w:eastAsia="MetaPro-Norm" w:cs="MetaPro-Norm"/>
          <w:color w:val="000000" w:themeColor="text1"/>
        </w:rPr>
        <w:t xml:space="preserve"> </w:t>
      </w:r>
    </w:p>
    <w:p w:rsidRPr="00E3137E" w:rsidR="00832B26" w:rsidP="00281B4B" w:rsidRDefault="00796632" w14:paraId="453E5926" w14:textId="3B26B45F">
      <w:pPr>
        <w:pStyle w:val="ListParagraph"/>
        <w:numPr>
          <w:ilvl w:val="1"/>
          <w:numId w:val="2"/>
        </w:numPr>
        <w:spacing w:after="160" w:line="259" w:lineRule="auto"/>
        <w:rPr>
          <w:rFonts w:ascii="MetaPro-Norm" w:hAnsi="MetaPro-Norm" w:eastAsiaTheme="minorEastAsia"/>
          <w:color w:val="000000" w:themeColor="text1"/>
        </w:rPr>
      </w:pPr>
      <w:r w:rsidRPr="00E3137E">
        <w:rPr>
          <w:rFonts w:ascii="MetaPro-Norm" w:hAnsi="MetaPro-Norm" w:eastAsia="MetaPro-Norm" w:cs="MetaPro-Norm"/>
          <w:color w:val="000000" w:themeColor="text1"/>
        </w:rPr>
        <w:t>California Penal Code section 602</w:t>
      </w:r>
      <w:r w:rsidRPr="00E3137E" w:rsidR="00DB473B">
        <w:rPr>
          <w:rFonts w:ascii="MetaPro-Norm" w:hAnsi="MetaPro-Norm" w:eastAsia="MetaPro-Norm" w:cs="MetaPro-Norm"/>
          <w:color w:val="000000" w:themeColor="text1"/>
        </w:rPr>
        <w:t>.</w:t>
      </w:r>
    </w:p>
    <w:p w:rsidRPr="00E3137E" w:rsidR="00796632" w:rsidP="00E3137E" w:rsidRDefault="00832B26" w14:paraId="1A0C1A86" w14:textId="7127145C">
      <w:pPr>
        <w:spacing w:after="160" w:line="259" w:lineRule="auto"/>
        <w:ind w:firstLine="720"/>
        <w:rPr>
          <w:rFonts w:ascii="MetaPro-Norm" w:hAnsi="MetaPro-Norm" w:eastAsiaTheme="minorEastAsia"/>
          <w:color w:val="000000" w:themeColor="text1"/>
        </w:rPr>
      </w:pPr>
      <w:r w:rsidRPr="00E3137E">
        <w:rPr>
          <w:rFonts w:ascii="MetaPro-Norm" w:hAnsi="MetaPro-Norm" w:eastAsiaTheme="minorEastAsia" w:cstheme="minorBidi"/>
        </w:rPr>
        <w:t xml:space="preserve">We request the data from </w:t>
      </w:r>
      <w:r w:rsidRPr="00E3137E" w:rsidR="00796632">
        <w:rPr>
          <w:rFonts w:ascii="MetaPro-Norm" w:hAnsi="MetaPro-Norm" w:eastAsia="MetaPro-Norm" w:cs="MetaPro-Norm"/>
          <w:color w:val="000000" w:themeColor="text1"/>
        </w:rPr>
        <w:t>1/1/2016 and the date this request is fulfilled. We request this data in a machine-readable, flat file format (</w:t>
      </w:r>
      <w:proofErr w:type="gramStart"/>
      <w:r w:rsidRPr="00E3137E" w:rsidR="00796632">
        <w:rPr>
          <w:rFonts w:ascii="MetaPro-Norm" w:hAnsi="MetaPro-Norm" w:eastAsia="MetaPro-Norm" w:cs="MetaPro-Norm"/>
          <w:color w:val="000000" w:themeColor="text1"/>
        </w:rPr>
        <w:t>e.g.</w:t>
      </w:r>
      <w:proofErr w:type="gramEnd"/>
      <w:r w:rsidRPr="00E3137E" w:rsidR="00796632">
        <w:rPr>
          <w:rFonts w:ascii="MetaPro-Norm" w:hAnsi="MetaPro-Norm" w:eastAsia="MetaPro-Norm" w:cs="MetaPro-Norm"/>
          <w:color w:val="000000" w:themeColor="text1"/>
        </w:rPr>
        <w:t xml:space="preserve"> csv file) or in the original format. We request the following data associated with each </w:t>
      </w:r>
      <w:r w:rsidRPr="00E3137E" w:rsidR="00341CA9">
        <w:rPr>
          <w:rFonts w:ascii="MetaPro-Norm" w:hAnsi="MetaPro-Norm" w:eastAsia="MetaPro-Norm" w:cs="MetaPro-Norm"/>
          <w:color w:val="000000" w:themeColor="text1"/>
        </w:rPr>
        <w:t>prosecution</w:t>
      </w:r>
      <w:r w:rsidRPr="00E3137E" w:rsidR="00796632">
        <w:rPr>
          <w:rFonts w:ascii="MetaPro-Norm" w:hAnsi="MetaPro-Norm" w:eastAsia="MetaPro-Norm" w:cs="MetaPro-Norm"/>
          <w:color w:val="000000" w:themeColor="text1"/>
        </w:rPr>
        <w:t>:</w:t>
      </w:r>
    </w:p>
    <w:p w:rsidRPr="00E3137E" w:rsidR="005A14EF" w:rsidP="00341CA9" w:rsidRDefault="00341CA9" w14:paraId="58BD6F40" w14:textId="71AFDCDE">
      <w:pPr>
        <w:pStyle w:val="ListParagraph"/>
        <w:numPr>
          <w:ilvl w:val="1"/>
          <w:numId w:val="2"/>
        </w:numPr>
        <w:spacing w:after="160" w:line="259" w:lineRule="auto"/>
        <w:rPr>
          <w:rFonts w:ascii="MetaPro-Norm" w:hAnsi="MetaPro-Norm" w:eastAsiaTheme="minorEastAsia" w:cstheme="minorBidi"/>
        </w:rPr>
      </w:pPr>
      <w:r w:rsidRPr="00E3137E">
        <w:rPr>
          <w:rFonts w:ascii="MetaPro-Norm" w:hAnsi="MetaPro-Norm" w:eastAsiaTheme="minorEastAsia" w:cstheme="minorBidi"/>
        </w:rPr>
        <w:t>Date of filing</w:t>
      </w:r>
    </w:p>
    <w:p w:rsidRPr="00E3137E" w:rsidR="00341CA9" w:rsidP="00341CA9" w:rsidRDefault="00341CA9" w14:paraId="02B9258A" w14:textId="3881393D">
      <w:pPr>
        <w:pStyle w:val="ListParagraph"/>
        <w:numPr>
          <w:ilvl w:val="1"/>
          <w:numId w:val="2"/>
        </w:numPr>
        <w:spacing w:after="160" w:line="259" w:lineRule="auto"/>
        <w:rPr>
          <w:rFonts w:ascii="MetaPro-Norm" w:hAnsi="MetaPro-Norm" w:eastAsiaTheme="minorEastAsia" w:cstheme="minorBidi"/>
        </w:rPr>
      </w:pPr>
      <w:r w:rsidRPr="00E3137E">
        <w:rPr>
          <w:rFonts w:ascii="MetaPro-Norm" w:hAnsi="MetaPro-Norm" w:eastAsiaTheme="minorEastAsia" w:cstheme="minorBidi"/>
        </w:rPr>
        <w:t>Charge</w:t>
      </w:r>
    </w:p>
    <w:p w:rsidRPr="00E3137E" w:rsidR="00341CA9" w:rsidP="2DCAD69F" w:rsidRDefault="00341CA9" w14:paraId="507DA30A" w14:textId="1C9313CC">
      <w:pPr>
        <w:pStyle w:val="ListParagraph"/>
        <w:numPr>
          <w:ilvl w:val="1"/>
          <w:numId w:val="2"/>
        </w:numPr>
        <w:spacing w:after="160" w:line="259" w:lineRule="auto"/>
        <w:rPr>
          <w:rFonts w:ascii="MetaPro-Norm" w:hAnsi="MetaPro-Norm" w:eastAsiaTheme="minorEastAsia" w:cstheme="minorBidi"/>
        </w:rPr>
      </w:pPr>
      <w:r w:rsidRPr="2DCAD69F">
        <w:rPr>
          <w:rFonts w:ascii="MetaPro-Norm" w:hAnsi="MetaPro-Norm" w:eastAsiaTheme="minorEastAsia" w:cstheme="minorBidi"/>
        </w:rPr>
        <w:t>Charge level (misdemeanor or infraction)</w:t>
      </w:r>
    </w:p>
    <w:p w:rsidR="629377D1" w:rsidP="2DCAD69F" w:rsidRDefault="629377D1" w14:paraId="65C3A6DD" w14:textId="2B5B0AAD">
      <w:pPr>
        <w:pStyle w:val="ListParagraph"/>
        <w:numPr>
          <w:ilvl w:val="1"/>
          <w:numId w:val="2"/>
        </w:numPr>
        <w:spacing w:after="160" w:line="259" w:lineRule="auto"/>
      </w:pPr>
      <w:r w:rsidRPr="2DCAD69F">
        <w:rPr>
          <w:rFonts w:ascii="MetaPro-Norm" w:hAnsi="MetaPro-Norm" w:eastAsiaTheme="minorEastAsia" w:cstheme="minorBidi"/>
        </w:rPr>
        <w:t>Race/ethnicity</w:t>
      </w:r>
    </w:p>
    <w:p w:rsidR="629377D1" w:rsidP="2DCAD69F" w:rsidRDefault="629377D1" w14:paraId="2EEDE190" w14:textId="64E4F31A">
      <w:pPr>
        <w:pStyle w:val="ListParagraph"/>
        <w:numPr>
          <w:ilvl w:val="1"/>
          <w:numId w:val="2"/>
        </w:numPr>
        <w:spacing w:after="160" w:line="259" w:lineRule="auto"/>
      </w:pPr>
      <w:r w:rsidRPr="2DCAD69F">
        <w:rPr>
          <w:rFonts w:ascii="MetaPro-Norm" w:hAnsi="MetaPro-Norm" w:eastAsiaTheme="minorEastAsia" w:cstheme="minorBidi"/>
        </w:rPr>
        <w:t>Outcome (</w:t>
      </w:r>
      <w:proofErr w:type="gramStart"/>
      <w:r w:rsidRPr="2DCAD69F">
        <w:rPr>
          <w:rFonts w:ascii="MetaPro-Norm" w:hAnsi="MetaPro-Norm" w:eastAsiaTheme="minorEastAsia" w:cstheme="minorBidi"/>
        </w:rPr>
        <w:t>e.g.</w:t>
      </w:r>
      <w:proofErr w:type="gramEnd"/>
      <w:r w:rsidRPr="2DCAD69F">
        <w:rPr>
          <w:rFonts w:ascii="MetaPro-Norm" w:hAnsi="MetaPro-Norm" w:eastAsiaTheme="minorEastAsia" w:cstheme="minorBidi"/>
        </w:rPr>
        <w:t xml:space="preserve"> plea, dismissed, etc.)</w:t>
      </w:r>
    </w:p>
    <w:p w:rsidRPr="00E3137E" w:rsidR="005A14EF" w:rsidP="00E3137E" w:rsidRDefault="005A14EF" w14:paraId="1EA44F4E" w14:textId="77777777">
      <w:pPr>
        <w:pStyle w:val="ListParagraph"/>
        <w:rPr>
          <w:rFonts w:ascii="MetaPro-Norm" w:hAnsi="MetaPro-Norm" w:eastAsiaTheme="minorEastAsia" w:cstheme="minorBidi"/>
        </w:rPr>
      </w:pPr>
    </w:p>
    <w:p w:rsidRPr="00E3137E" w:rsidR="00900450" w:rsidP="2DCAD69F" w:rsidRDefault="003E4EF4" w14:paraId="27172D65" w14:textId="021B4281">
      <w:pPr>
        <w:pStyle w:val="ListParagraph"/>
        <w:numPr>
          <w:ilvl w:val="0"/>
          <w:numId w:val="2"/>
        </w:numPr>
        <w:spacing w:after="160" w:line="259" w:lineRule="auto"/>
        <w:rPr>
          <w:rFonts w:ascii="MetaPro-Norm" w:hAnsi="MetaPro-Norm" w:eastAsiaTheme="minorEastAsia" w:cstheme="minorBidi"/>
        </w:rPr>
      </w:pPr>
      <w:r w:rsidRPr="2DCAD69F">
        <w:rPr>
          <w:rFonts w:ascii="MetaPro-Norm" w:hAnsi="MetaPro-Norm" w:eastAsia="MetaPro-Norm" w:cs="MetaPro-Norm"/>
          <w:color w:val="000000" w:themeColor="text1"/>
        </w:rPr>
        <w:t>Policies</w:t>
      </w:r>
      <w:r w:rsidRPr="2DCAD69F" w:rsidR="00FE69DD">
        <w:rPr>
          <w:rFonts w:ascii="MetaPro-Norm" w:hAnsi="MetaPro-Norm"/>
        </w:rPr>
        <w:t xml:space="preserve"> and guidelines: </w:t>
      </w:r>
      <w:r w:rsidRPr="2DCAD69F">
        <w:rPr>
          <w:rFonts w:ascii="MetaPro-Norm" w:hAnsi="MetaPro-Norm"/>
        </w:rPr>
        <w:t xml:space="preserve"> Any and all policies, procedures, regulations, protocols, manuals, or guidelines </w:t>
      </w:r>
      <w:r w:rsidRPr="2DCAD69F" w:rsidR="568FFAFF">
        <w:rPr>
          <w:rFonts w:ascii="MetaPro-Norm" w:hAnsi="MetaPro-Norm"/>
        </w:rPr>
        <w:t xml:space="preserve">from January 1, </w:t>
      </w:r>
      <w:proofErr w:type="gramStart"/>
      <w:r w:rsidRPr="2DCAD69F" w:rsidR="568FFAFF">
        <w:rPr>
          <w:rFonts w:ascii="MetaPro-Norm" w:hAnsi="MetaPro-Norm"/>
        </w:rPr>
        <w:t>201</w:t>
      </w:r>
      <w:r w:rsidRPr="2DCAD69F" w:rsidR="6D5667DE">
        <w:rPr>
          <w:rFonts w:ascii="MetaPro-Norm" w:hAnsi="MetaPro-Norm"/>
        </w:rPr>
        <w:t>2</w:t>
      </w:r>
      <w:proofErr w:type="gramEnd"/>
      <w:r w:rsidRPr="2DCAD69F" w:rsidR="568FFAFF">
        <w:rPr>
          <w:rFonts w:ascii="MetaPro-Norm" w:hAnsi="MetaPro-Norm"/>
        </w:rPr>
        <w:t xml:space="preserve"> until the date this request i</w:t>
      </w:r>
      <w:r w:rsidRPr="2DCAD69F" w:rsidR="6A1423BE">
        <w:rPr>
          <w:rFonts w:ascii="MetaPro-Norm" w:hAnsi="MetaPro-Norm"/>
        </w:rPr>
        <w:t>s</w:t>
      </w:r>
      <w:r w:rsidRPr="2DCAD69F" w:rsidR="296BD387">
        <w:rPr>
          <w:rFonts w:ascii="MetaPro-Norm" w:hAnsi="MetaPro-Norm"/>
        </w:rPr>
        <w:t xml:space="preserve"> </w:t>
      </w:r>
      <w:r w:rsidRPr="2DCAD69F" w:rsidR="568FFAFF">
        <w:rPr>
          <w:rFonts w:ascii="MetaPro-Norm" w:hAnsi="MetaPro-Norm"/>
        </w:rPr>
        <w:t xml:space="preserve">fulfilled, </w:t>
      </w:r>
      <w:r w:rsidRPr="2DCAD69F" w:rsidR="00A62176">
        <w:rPr>
          <w:rFonts w:ascii="MetaPro-Norm" w:hAnsi="MetaPro-Norm"/>
        </w:rPr>
        <w:t>related to</w:t>
      </w:r>
      <w:r w:rsidRPr="2DCAD69F">
        <w:rPr>
          <w:rFonts w:ascii="MetaPro-Norm" w:hAnsi="MetaPro-Norm"/>
        </w:rPr>
        <w:t xml:space="preserve"> </w:t>
      </w:r>
      <w:r w:rsidRPr="2DCAD69F" w:rsidR="00FE69DD">
        <w:rPr>
          <w:rFonts w:ascii="MetaPro-Norm" w:hAnsi="MetaPro-Norm"/>
        </w:rPr>
        <w:t xml:space="preserve">the filing and prosecution of </w:t>
      </w:r>
      <w:r w:rsidRPr="2DCAD69F" w:rsidR="005A14EF">
        <w:rPr>
          <w:rFonts w:ascii="MetaPro-Norm" w:hAnsi="MetaPro-Norm"/>
        </w:rPr>
        <w:t xml:space="preserve">the offenses/charges </w:t>
      </w:r>
      <w:r w:rsidRPr="2DCAD69F" w:rsidR="3A95FE89">
        <w:rPr>
          <w:rFonts w:ascii="MetaPro-Norm" w:hAnsi="MetaPro-Norm"/>
        </w:rPr>
        <w:t>list</w:t>
      </w:r>
      <w:r w:rsidRPr="2DCAD69F" w:rsidR="005A14EF">
        <w:rPr>
          <w:rFonts w:ascii="MetaPro-Norm" w:hAnsi="MetaPro-Norm"/>
        </w:rPr>
        <w:t>ed above.</w:t>
      </w:r>
    </w:p>
    <w:p w:rsidRPr="00FA6DFC" w:rsidR="00900450" w:rsidP="00900450" w:rsidRDefault="00900450" w14:paraId="3F35439F" w14:textId="77777777">
      <w:pPr>
        <w:pStyle w:val="ListParagraph"/>
        <w:rPr>
          <w:rFonts w:ascii="MetaPro-Norm" w:hAnsi="MetaPro-Norm"/>
        </w:rPr>
      </w:pPr>
    </w:p>
    <w:p w:rsidRPr="00FA6DFC" w:rsidR="0002241C" w:rsidP="00E3137E" w:rsidRDefault="0002241C" w14:paraId="048A7C8E" w14:textId="77777777">
      <w:pPr>
        <w:rPr>
          <w:rFonts w:ascii="MetaPro-Norm" w:hAnsi="MetaPro-Norm"/>
        </w:rPr>
      </w:pPr>
    </w:p>
    <w:p w:rsidRPr="00FA6DFC" w:rsidR="0002241C" w:rsidP="0002241C" w:rsidRDefault="003E4EF4" w14:paraId="4FD91440" w14:textId="77777777">
      <w:pPr>
        <w:pStyle w:val="NormalWeb"/>
        <w:rPr>
          <w:rFonts w:ascii="MetaPro-Norm" w:hAnsi="MetaPro-Norm"/>
          <w:color w:val="000000"/>
        </w:rPr>
      </w:pPr>
      <w:r w:rsidRPr="53740CC9">
        <w:rPr>
          <w:rFonts w:ascii="MetaPro-Norm" w:hAnsi="MetaPro-Norm"/>
          <w:color w:val="000000" w:themeColor="text1"/>
        </w:rPr>
        <w:t>As provided in the open records law, Sec. 6253(c), I will expect your initial response within ten (10) business days.</w:t>
      </w:r>
    </w:p>
    <w:p w:rsidR="53740CC9" w:rsidP="53740CC9" w:rsidRDefault="53740CC9" w14:paraId="08A91CBC" w14:textId="4115C0C1">
      <w:pPr>
        <w:pStyle w:val="NormalWeb"/>
        <w:rPr>
          <w:rFonts w:ascii="MetaPro-Norm" w:hAnsi="MetaPro-Norm"/>
          <w:color w:val="000000" w:themeColor="text1"/>
        </w:rPr>
      </w:pPr>
    </w:p>
    <w:p w:rsidRPr="00FA6DFC" w:rsidR="0002241C" w:rsidP="0002241C" w:rsidRDefault="003E4EF4" w14:paraId="55EAABB9" w14:textId="77777777">
      <w:pPr>
        <w:pStyle w:val="NormalWeb"/>
        <w:rPr>
          <w:rFonts w:ascii="MetaPro-Norm" w:hAnsi="MetaPro-Norm"/>
          <w:color w:val="000000"/>
        </w:rPr>
      </w:pPr>
      <w:r w:rsidRPr="00FA6DFC">
        <w:rPr>
          <w:rFonts w:ascii="MetaPro-Norm" w:hAnsi="MetaPro-Norm"/>
          <w:color w:val="000000"/>
        </w:rPr>
        <w:t>If you choose to deny this request, please provide a written explanation for the denial including a reference to the specific statutory exemption(s) upon which you rely. Also, please provide all segregable portions of otherwise exempt material.</w:t>
      </w:r>
    </w:p>
    <w:p w:rsidRPr="00FA6DFC" w:rsidR="0002241C" w:rsidP="0002241C" w:rsidRDefault="003E4EF4" w14:paraId="49960299" w14:textId="77777777">
      <w:pPr>
        <w:pStyle w:val="NormalWeb"/>
        <w:rPr>
          <w:rFonts w:ascii="MetaPro-Norm" w:hAnsi="MetaPro-Norm"/>
          <w:color w:val="000000"/>
        </w:rPr>
      </w:pPr>
      <w:r w:rsidRPr="2DCAD69F">
        <w:rPr>
          <w:rFonts w:ascii="MetaPro-Norm" w:hAnsi="MetaPro-Norm"/>
          <w:color w:val="000000" w:themeColor="text1"/>
        </w:rPr>
        <w:t>Please do have the analyst or data manager call me to discuss any questions they may have.</w:t>
      </w:r>
    </w:p>
    <w:p w:rsidR="2DCAD69F" w:rsidP="2DCAD69F" w:rsidRDefault="2DCAD69F" w14:paraId="4A8B64B3" w14:textId="683DBFDA">
      <w:pPr>
        <w:pStyle w:val="NormalWeb"/>
        <w:rPr>
          <w:color w:val="000000" w:themeColor="text1"/>
        </w:rPr>
      </w:pPr>
    </w:p>
    <w:p w:rsidRPr="00FA6DFC" w:rsidR="0002241C" w:rsidP="0002241C" w:rsidRDefault="003E4EF4" w14:paraId="1AEE93B5" w14:textId="77777777">
      <w:pPr>
        <w:pStyle w:val="NormalWeb"/>
        <w:rPr>
          <w:rFonts w:ascii="MetaPro-Norm" w:hAnsi="MetaPro-Norm"/>
          <w:color w:val="000000"/>
        </w:rPr>
      </w:pPr>
      <w:r w:rsidRPr="53740CC9">
        <w:rPr>
          <w:rFonts w:ascii="MetaPro-Norm" w:hAnsi="MetaPro-Norm"/>
          <w:color w:val="000000" w:themeColor="text1"/>
        </w:rPr>
        <w:t>Thank you and we look forward to your response.</w:t>
      </w:r>
    </w:p>
    <w:p w:rsidR="53740CC9" w:rsidP="53740CC9" w:rsidRDefault="53740CC9" w14:paraId="5D237F83" w14:textId="1814C06E">
      <w:pPr>
        <w:pStyle w:val="NormalWeb"/>
        <w:rPr>
          <w:color w:val="000000" w:themeColor="text1"/>
        </w:rPr>
      </w:pPr>
    </w:p>
    <w:p w:rsidRPr="00FA6DFC" w:rsidR="0002241C" w:rsidP="0002241C" w:rsidRDefault="003E4EF4" w14:paraId="4DA53E5A" w14:textId="77777777">
      <w:pPr>
        <w:pStyle w:val="NormalWeb"/>
        <w:rPr>
          <w:rFonts w:ascii="MetaPro-Norm" w:hAnsi="MetaPro-Norm"/>
          <w:color w:val="000000"/>
        </w:rPr>
      </w:pPr>
      <w:r w:rsidRPr="2DCAD69F">
        <w:rPr>
          <w:rFonts w:ascii="MetaPro-Norm" w:hAnsi="MetaPro-Norm"/>
          <w:color w:val="000000" w:themeColor="text1"/>
        </w:rPr>
        <w:t>Sincerely,</w:t>
      </w:r>
    </w:p>
    <w:p w:rsidR="2DCAD69F" w:rsidP="2DCAD69F" w:rsidRDefault="2DCAD69F" w14:paraId="01173C26" w14:textId="3B04020F">
      <w:pPr>
        <w:pStyle w:val="NormalWeb"/>
        <w:rPr>
          <w:color w:val="000000" w:themeColor="text1"/>
        </w:rPr>
      </w:pPr>
    </w:p>
    <w:p w:rsidRPr="00FA6DFC" w:rsidR="0002241C" w:rsidP="0002241C" w:rsidRDefault="003E4EF4" w14:paraId="5755D3FE" w14:textId="77777777">
      <w:pPr>
        <w:pStyle w:val="NormalWeb"/>
        <w:rPr>
          <w:rFonts w:ascii="MetaPro-Norm" w:hAnsi="MetaPro-Norm"/>
          <w:color w:val="000000"/>
        </w:rPr>
      </w:pPr>
      <w:r w:rsidRPr="53740CC9">
        <w:rPr>
          <w:rFonts w:ascii="MetaPro-Norm" w:hAnsi="MetaPro-Norm"/>
          <w:color w:val="000000" w:themeColor="text1"/>
        </w:rPr>
        <w:t>Brian Root</w:t>
      </w:r>
    </w:p>
    <w:p w:rsidR="53740CC9" w:rsidP="53740CC9" w:rsidRDefault="53740CC9" w14:paraId="6A4AB5E7" w14:textId="560F9022">
      <w:pPr>
        <w:pStyle w:val="NormalWeb"/>
        <w:rPr>
          <w:color w:val="000000" w:themeColor="text1"/>
        </w:rPr>
      </w:pPr>
    </w:p>
    <w:tbl>
      <w:tblPr>
        <w:tblW w:w="8414" w:type="dxa"/>
        <w:tblInd w:w="2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4"/>
        <w:gridCol w:w="2220"/>
      </w:tblGrid>
      <w:tr w:rsidR="00986A88" w:rsidTr="0049255B" w14:paraId="5814DB29" w14:textId="77777777">
        <w:trPr>
          <w:trHeight w:val="295"/>
        </w:trPr>
        <w:tc>
          <w:tcPr>
            <w:tcW w:w="6194" w:type="dxa"/>
            <w:tcBorders>
              <w:top w:val="single" w:color="A5A5A5" w:sz="8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FA6DFC" w:rsidR="0002241C" w:rsidP="0049255B" w:rsidRDefault="003E4EF4" w14:paraId="12B29430" w14:textId="77777777">
            <w:pPr>
              <w:spacing w:line="253" w:lineRule="atLeast"/>
              <w:rPr>
                <w:rFonts w:ascii="MetaPro-Norm" w:hAnsi="MetaPro-Norm" w:cs="Calibri" w:eastAsiaTheme="minorEastAsia"/>
                <w:noProof/>
              </w:rPr>
            </w:pPr>
            <w:r w:rsidRPr="00FA6DFC">
              <w:rPr>
                <w:rFonts w:ascii="MetaPro-Norm" w:hAnsi="MetaPro-Norm" w:cs="Arial" w:eastAsiaTheme="minorEastAsia"/>
                <w:b/>
                <w:bCs/>
                <w:noProof/>
              </w:rPr>
              <w:t xml:space="preserve">Brian Root PhD </w:t>
            </w:r>
          </w:p>
        </w:tc>
        <w:tc>
          <w:tcPr>
            <w:tcW w:w="2220" w:type="dxa"/>
            <w:vMerge w:val="restart"/>
            <w:tcBorders>
              <w:top w:val="single" w:color="C0C0C0" w:sz="8" w:space="0"/>
              <w:left w:val="nil"/>
              <w:bottom w:val="single" w:color="C0C0C0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FA6DFC" w:rsidR="0002241C" w:rsidP="0049255B" w:rsidRDefault="003E4EF4" w14:paraId="67EBB1E7" w14:textId="77777777">
            <w:pPr>
              <w:jc w:val="right"/>
              <w:rPr>
                <w:rFonts w:ascii="MetaPro-Norm" w:hAnsi="MetaPro-Norm" w:cs="Calibri" w:eastAsiaTheme="minorEastAsia"/>
                <w:noProof/>
              </w:rPr>
            </w:pPr>
            <w:r w:rsidRPr="00FA6DFC">
              <w:rPr>
                <w:rFonts w:ascii="MetaPro-Norm" w:hAnsi="MetaPro-Norm" w:cs="Arial" w:eastAsiaTheme="minorEastAsia"/>
                <w:noProof/>
                <w:color w:val="044A91"/>
              </w:rPr>
              <w:drawing>
                <wp:inline distT="0" distB="0" distL="0" distR="0" wp14:anchorId="55B5AB13" wp14:editId="3570C887">
                  <wp:extent cx="1117600" cy="1117600"/>
                  <wp:effectExtent l="0" t="0" r="0" b="0"/>
                  <wp:docPr id="1" name="Picture 1" descr="cidimage001.png@01D6BD97.B334ED70">
                    <a:hlinkClick xmlns:a="http://schemas.openxmlformats.org/drawingml/2006/main" r:id="rId6" tooltip="http://www.hrw.org/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358474" name="Picture 1" descr="cidimage001.png@01D6BD97.B334ED70">
                            <a:hlinkClick r:id="rId6" tooltip="http://www.hrw.org/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0" cy="111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6A88" w:rsidTr="0049255B" w14:paraId="1AAB2755" w14:textId="77777777">
        <w:trPr>
          <w:trHeight w:val="1368"/>
        </w:trPr>
        <w:tc>
          <w:tcPr>
            <w:tcW w:w="6194" w:type="dxa"/>
            <w:tcBorders>
              <w:top w:val="nil"/>
              <w:left w:val="nil"/>
              <w:bottom w:val="single" w:color="FFFFFF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FA6DFC" w:rsidR="0002241C" w:rsidP="0049255B" w:rsidRDefault="003E4EF4" w14:paraId="3328917B" w14:textId="77777777">
            <w:pPr>
              <w:spacing w:line="253" w:lineRule="atLeast"/>
              <w:rPr>
                <w:rFonts w:ascii="MetaPro-Norm" w:hAnsi="MetaPro-Norm" w:cs="Calibri" w:eastAsiaTheme="minorEastAsia"/>
                <w:noProof/>
              </w:rPr>
            </w:pPr>
            <w:r w:rsidRPr="00FA6DFC">
              <w:rPr>
                <w:rFonts w:ascii="MetaPro-Norm" w:hAnsi="MetaPro-Norm" w:cs="Arial" w:eastAsiaTheme="minorEastAsia"/>
                <w:b/>
                <w:bCs/>
                <w:noProof/>
              </w:rPr>
              <w:t>Senior Quantitative Analyst | Human Rights Watch</w:t>
            </w:r>
          </w:p>
          <w:p w:rsidRPr="00FA6DFC" w:rsidR="0002241C" w:rsidP="0049255B" w:rsidRDefault="003E4EF4" w14:paraId="3661F081" w14:textId="77777777">
            <w:pPr>
              <w:spacing w:line="253" w:lineRule="atLeast"/>
              <w:rPr>
                <w:rFonts w:ascii="MetaPro-Norm" w:hAnsi="MetaPro-Norm" w:cs="Arial" w:eastAsiaTheme="minorEastAsia"/>
                <w:noProof/>
              </w:rPr>
            </w:pPr>
            <w:r w:rsidRPr="00FA6DFC">
              <w:rPr>
                <w:rFonts w:ascii="MetaPro-Norm" w:hAnsi="MetaPro-Norm" w:cs="Arial" w:eastAsiaTheme="minorEastAsia"/>
                <w:noProof/>
              </w:rPr>
              <w:t>Oakland, CA</w:t>
            </w:r>
          </w:p>
          <w:p w:rsidRPr="00FA6DFC" w:rsidR="0002241C" w:rsidP="0049255B" w:rsidRDefault="003E4EF4" w14:paraId="66545004" w14:textId="77777777">
            <w:pPr>
              <w:spacing w:line="253" w:lineRule="atLeast"/>
              <w:rPr>
                <w:rFonts w:ascii="MetaPro-Norm" w:hAnsi="MetaPro-Norm" w:cs="Calibri" w:eastAsiaTheme="minorEastAsia"/>
                <w:noProof/>
              </w:rPr>
            </w:pPr>
            <w:r w:rsidRPr="00FA6DFC">
              <w:rPr>
                <w:rFonts w:ascii="MetaPro-Norm" w:hAnsi="MetaPro-Norm" w:cs="Arial" w:eastAsiaTheme="minorEastAsia"/>
                <w:noProof/>
              </w:rPr>
              <w:t>Direct: +1 310 720-3458 | Email:</w:t>
            </w:r>
            <w:r w:rsidRPr="00FA6DFC">
              <w:rPr>
                <w:rFonts w:ascii="MetaPro-Norm" w:hAnsi="MetaPro-Norm" w:cs="Arial" w:eastAsiaTheme="minorEastAsia"/>
                <w:noProof/>
                <w:color w:val="001748"/>
              </w:rPr>
              <w:t> </w:t>
            </w:r>
            <w:hyperlink w:history="1" r:id="rId8">
              <w:r w:rsidRPr="00FA6DFC">
                <w:rPr>
                  <w:rStyle w:val="Hyperlink"/>
                  <w:rFonts w:ascii="MetaPro-Norm" w:hAnsi="MetaPro-Norm" w:cs="Arial" w:eastAsiaTheme="minorEastAsia"/>
                  <w:noProof/>
                  <w:color w:val="0563C1"/>
                </w:rPr>
                <w:t>rootb@hrw.org</w:t>
              </w:r>
            </w:hyperlink>
          </w:p>
          <w:p w:rsidRPr="00FA6DFC" w:rsidR="0002241C" w:rsidP="00E3137E" w:rsidRDefault="0002241C" w14:paraId="3660B9A2" w14:textId="77777777">
            <w:pPr>
              <w:spacing w:line="253" w:lineRule="atLeast"/>
              <w:rPr>
                <w:rFonts w:ascii="MetaPro-Norm" w:hAnsi="MetaPro-Norm" w:cs="Calibri" w:eastAsiaTheme="minorEastAsia"/>
                <w:noProof/>
              </w:rPr>
            </w:pPr>
          </w:p>
        </w:tc>
        <w:tc>
          <w:tcPr>
            <w:tcW w:w="0" w:type="auto"/>
            <w:vMerge/>
            <w:tcBorders>
              <w:top w:val="single" w:color="C0C0C0" w:sz="8" w:space="0"/>
              <w:left w:val="nil"/>
              <w:bottom w:val="single" w:color="C0C0C0" w:sz="8" w:space="0"/>
              <w:right w:val="nil"/>
            </w:tcBorders>
            <w:vAlign w:val="center"/>
            <w:hideMark/>
          </w:tcPr>
          <w:p w:rsidRPr="00FA6DFC" w:rsidR="0002241C" w:rsidP="0049255B" w:rsidRDefault="0002241C" w14:paraId="37BE4D60" w14:textId="77777777">
            <w:pPr>
              <w:rPr>
                <w:rFonts w:ascii="MetaPro-Norm" w:hAnsi="MetaPro-Norm" w:cs="Calibri" w:eastAsiaTheme="minorEastAsia"/>
                <w:noProof/>
              </w:rPr>
            </w:pPr>
          </w:p>
        </w:tc>
      </w:tr>
    </w:tbl>
    <w:p w:rsidRPr="00FA6DFC" w:rsidR="0002241C" w:rsidP="0002241C" w:rsidRDefault="0002241C" w14:paraId="331097FC" w14:textId="77777777">
      <w:pPr>
        <w:rPr>
          <w:rFonts w:ascii="MetaPro-Norm" w:hAnsi="MetaPro-Norm"/>
        </w:rPr>
      </w:pPr>
    </w:p>
    <w:p w:rsidRPr="00FA6DFC" w:rsidR="0002241C" w:rsidP="5CB08429" w:rsidRDefault="0002241C" w14:paraId="0E5E5357" w14:textId="1C1396E1">
      <w:pPr>
        <w:pStyle w:val="NormalWeb"/>
        <w:spacing w:beforeAutospacing="on" w:afterAutospacing="on"/>
        <w:jc w:val="left"/>
        <w:rPr>
          <w:rFonts w:ascii="MetaPro-Norm" w:hAnsi="MetaPro-Norm" w:eastAsia="MetaPro-Norm" w:cs="MetaPro-Nor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B08429" w:rsidR="60F7A85A">
        <w:rPr>
          <w:rFonts w:ascii="MetaPro-Norm" w:hAnsi="MetaPro-Norm" w:eastAsia="MetaPro-Norm" w:cs="MetaPro-Nor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CC: Thomas R. Burke, Davis Wright Tremaine LLP</w:t>
      </w:r>
    </w:p>
    <w:p w:rsidRPr="00FA6DFC" w:rsidR="0002241C" w:rsidP="5CB08429" w:rsidRDefault="0002241C" w14:paraId="058D8710" w14:textId="1098B64A">
      <w:pPr>
        <w:pStyle w:val="Normal"/>
        <w:rPr>
          <w:rFonts w:ascii="Times New Roman" w:hAnsi="Times New Roman" w:eastAsia="Times New Roman" w:cs="Times New Roman"/>
        </w:rPr>
      </w:pPr>
    </w:p>
    <w:sectPr w:rsidRPr="00FA6DFC" w:rsidR="0002241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taPro-Norm">
    <w:panose1 w:val="020B0504030101020102"/>
    <w:charset w:val="00"/>
    <w:family w:val="swiss"/>
    <w:notTrueType/>
    <w:pitch w:val="variable"/>
    <w:sig w:usb0="A00002FF" w:usb1="4000207B" w:usb2="00000000" w:usb3="00000000" w:csb0="0000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7384"/>
    <w:multiLevelType w:val="hybridMultilevel"/>
    <w:tmpl w:val="C4A462D4"/>
    <w:lvl w:ilvl="0" w:tplc="E4BCC51E">
      <w:start w:val="1"/>
      <w:numFmt w:val="decimal"/>
      <w:lvlText w:val="%1."/>
      <w:lvlJc w:val="left"/>
      <w:pPr>
        <w:ind w:left="720" w:hanging="360"/>
      </w:pPr>
    </w:lvl>
    <w:lvl w:ilvl="1" w:tplc="8BBC1FB0">
      <w:start w:val="1"/>
      <w:numFmt w:val="lowerLetter"/>
      <w:lvlText w:val="%2."/>
      <w:lvlJc w:val="left"/>
      <w:pPr>
        <w:ind w:left="1440" w:hanging="360"/>
      </w:pPr>
    </w:lvl>
    <w:lvl w:ilvl="2" w:tplc="10D88118">
      <w:start w:val="1"/>
      <w:numFmt w:val="lowerRoman"/>
      <w:lvlText w:val="%3."/>
      <w:lvlJc w:val="right"/>
      <w:pPr>
        <w:ind w:left="2160" w:hanging="180"/>
      </w:pPr>
    </w:lvl>
    <w:lvl w:ilvl="3" w:tplc="E07EC04A">
      <w:start w:val="1"/>
      <w:numFmt w:val="decimal"/>
      <w:lvlText w:val="%4."/>
      <w:lvlJc w:val="left"/>
      <w:pPr>
        <w:ind w:left="2880" w:hanging="360"/>
      </w:pPr>
    </w:lvl>
    <w:lvl w:ilvl="4" w:tplc="85AE0F16">
      <w:start w:val="1"/>
      <w:numFmt w:val="lowerLetter"/>
      <w:lvlText w:val="%5."/>
      <w:lvlJc w:val="left"/>
      <w:pPr>
        <w:ind w:left="3600" w:hanging="360"/>
      </w:pPr>
    </w:lvl>
    <w:lvl w:ilvl="5" w:tplc="FB8E2A88">
      <w:start w:val="1"/>
      <w:numFmt w:val="lowerRoman"/>
      <w:lvlText w:val="%6."/>
      <w:lvlJc w:val="right"/>
      <w:pPr>
        <w:ind w:left="4320" w:hanging="180"/>
      </w:pPr>
    </w:lvl>
    <w:lvl w:ilvl="6" w:tplc="307C70BE">
      <w:start w:val="1"/>
      <w:numFmt w:val="decimal"/>
      <w:lvlText w:val="%7."/>
      <w:lvlJc w:val="left"/>
      <w:pPr>
        <w:ind w:left="5040" w:hanging="360"/>
      </w:pPr>
    </w:lvl>
    <w:lvl w:ilvl="7" w:tplc="CAA0DE4C">
      <w:start w:val="1"/>
      <w:numFmt w:val="lowerLetter"/>
      <w:lvlText w:val="%8."/>
      <w:lvlJc w:val="left"/>
      <w:pPr>
        <w:ind w:left="5760" w:hanging="360"/>
      </w:pPr>
    </w:lvl>
    <w:lvl w:ilvl="8" w:tplc="AF68A86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74596"/>
    <w:multiLevelType w:val="hybridMultilevel"/>
    <w:tmpl w:val="AA6454D0"/>
    <w:lvl w:ilvl="0" w:tplc="C2748B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FC29B6C">
      <w:start w:val="1"/>
      <w:numFmt w:val="lowerLetter"/>
      <w:lvlText w:val="%2."/>
      <w:lvlJc w:val="left"/>
      <w:pPr>
        <w:ind w:left="2160" w:hanging="360"/>
      </w:pPr>
    </w:lvl>
    <w:lvl w:ilvl="2" w:tplc="EFAC2B34" w:tentative="1">
      <w:start w:val="1"/>
      <w:numFmt w:val="lowerRoman"/>
      <w:lvlText w:val="%3."/>
      <w:lvlJc w:val="right"/>
      <w:pPr>
        <w:ind w:left="2880" w:hanging="180"/>
      </w:pPr>
    </w:lvl>
    <w:lvl w:ilvl="3" w:tplc="EC1EEFD8" w:tentative="1">
      <w:start w:val="1"/>
      <w:numFmt w:val="decimal"/>
      <w:lvlText w:val="%4."/>
      <w:lvlJc w:val="left"/>
      <w:pPr>
        <w:ind w:left="3600" w:hanging="360"/>
      </w:pPr>
    </w:lvl>
    <w:lvl w:ilvl="4" w:tplc="E6FE29B0" w:tentative="1">
      <w:start w:val="1"/>
      <w:numFmt w:val="lowerLetter"/>
      <w:lvlText w:val="%5."/>
      <w:lvlJc w:val="left"/>
      <w:pPr>
        <w:ind w:left="4320" w:hanging="360"/>
      </w:pPr>
    </w:lvl>
    <w:lvl w:ilvl="5" w:tplc="8B2CB70C" w:tentative="1">
      <w:start w:val="1"/>
      <w:numFmt w:val="lowerRoman"/>
      <w:lvlText w:val="%6."/>
      <w:lvlJc w:val="right"/>
      <w:pPr>
        <w:ind w:left="5040" w:hanging="180"/>
      </w:pPr>
    </w:lvl>
    <w:lvl w:ilvl="6" w:tplc="F446C234" w:tentative="1">
      <w:start w:val="1"/>
      <w:numFmt w:val="decimal"/>
      <w:lvlText w:val="%7."/>
      <w:lvlJc w:val="left"/>
      <w:pPr>
        <w:ind w:left="5760" w:hanging="360"/>
      </w:pPr>
    </w:lvl>
    <w:lvl w:ilvl="7" w:tplc="F0160788" w:tentative="1">
      <w:start w:val="1"/>
      <w:numFmt w:val="lowerLetter"/>
      <w:lvlText w:val="%8."/>
      <w:lvlJc w:val="left"/>
      <w:pPr>
        <w:ind w:left="6480" w:hanging="360"/>
      </w:pPr>
    </w:lvl>
    <w:lvl w:ilvl="8" w:tplc="46CC7E1C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trackRevisions w:val="tru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1C"/>
    <w:rsid w:val="0001156A"/>
    <w:rsid w:val="0002241C"/>
    <w:rsid w:val="00053BBD"/>
    <w:rsid w:val="00071DD4"/>
    <w:rsid w:val="000A19AA"/>
    <w:rsid w:val="000A4FC9"/>
    <w:rsid w:val="000B1B57"/>
    <w:rsid w:val="000B45F3"/>
    <w:rsid w:val="000D7FEE"/>
    <w:rsid w:val="000E16DB"/>
    <w:rsid w:val="00105072"/>
    <w:rsid w:val="0010757D"/>
    <w:rsid w:val="00113DCD"/>
    <w:rsid w:val="00124B3C"/>
    <w:rsid w:val="001441C3"/>
    <w:rsid w:val="00157C77"/>
    <w:rsid w:val="00163C08"/>
    <w:rsid w:val="00165167"/>
    <w:rsid w:val="0016536C"/>
    <w:rsid w:val="001828B6"/>
    <w:rsid w:val="001A124D"/>
    <w:rsid w:val="001B2F94"/>
    <w:rsid w:val="001B6C38"/>
    <w:rsid w:val="001D691F"/>
    <w:rsid w:val="00236781"/>
    <w:rsid w:val="002541C4"/>
    <w:rsid w:val="00260A71"/>
    <w:rsid w:val="00266AC8"/>
    <w:rsid w:val="00267A3F"/>
    <w:rsid w:val="002712E2"/>
    <w:rsid w:val="0027D618"/>
    <w:rsid w:val="00281B4B"/>
    <w:rsid w:val="002B29EA"/>
    <w:rsid w:val="002C638C"/>
    <w:rsid w:val="002D2634"/>
    <w:rsid w:val="002E2ADF"/>
    <w:rsid w:val="002E498C"/>
    <w:rsid w:val="002E737E"/>
    <w:rsid w:val="002F125A"/>
    <w:rsid w:val="002F25E8"/>
    <w:rsid w:val="0030380D"/>
    <w:rsid w:val="00331679"/>
    <w:rsid w:val="00333755"/>
    <w:rsid w:val="00334292"/>
    <w:rsid w:val="00341CA9"/>
    <w:rsid w:val="0035444F"/>
    <w:rsid w:val="003607FE"/>
    <w:rsid w:val="00361B2B"/>
    <w:rsid w:val="00367CA9"/>
    <w:rsid w:val="00387A38"/>
    <w:rsid w:val="003A1DD4"/>
    <w:rsid w:val="003D4132"/>
    <w:rsid w:val="003E4EF4"/>
    <w:rsid w:val="00416327"/>
    <w:rsid w:val="00435A52"/>
    <w:rsid w:val="00457375"/>
    <w:rsid w:val="00463154"/>
    <w:rsid w:val="004663E2"/>
    <w:rsid w:val="00471116"/>
    <w:rsid w:val="0049255B"/>
    <w:rsid w:val="004A34D7"/>
    <w:rsid w:val="004B055D"/>
    <w:rsid w:val="004F6AC7"/>
    <w:rsid w:val="00520ABC"/>
    <w:rsid w:val="0052147E"/>
    <w:rsid w:val="00522A58"/>
    <w:rsid w:val="00523ECB"/>
    <w:rsid w:val="0054544D"/>
    <w:rsid w:val="00584488"/>
    <w:rsid w:val="00586761"/>
    <w:rsid w:val="00595CCB"/>
    <w:rsid w:val="005A14EF"/>
    <w:rsid w:val="005A4E2D"/>
    <w:rsid w:val="005C2423"/>
    <w:rsid w:val="005D4B49"/>
    <w:rsid w:val="005D7ECA"/>
    <w:rsid w:val="005E6C0E"/>
    <w:rsid w:val="005F21B5"/>
    <w:rsid w:val="006037BA"/>
    <w:rsid w:val="0060606F"/>
    <w:rsid w:val="00645DB7"/>
    <w:rsid w:val="0066530A"/>
    <w:rsid w:val="00682F43"/>
    <w:rsid w:val="00691068"/>
    <w:rsid w:val="006A08D1"/>
    <w:rsid w:val="006A6C60"/>
    <w:rsid w:val="006B06D1"/>
    <w:rsid w:val="006C2048"/>
    <w:rsid w:val="006C5ED2"/>
    <w:rsid w:val="006D0570"/>
    <w:rsid w:val="006D3B51"/>
    <w:rsid w:val="00722CDB"/>
    <w:rsid w:val="00761562"/>
    <w:rsid w:val="0076434B"/>
    <w:rsid w:val="00783473"/>
    <w:rsid w:val="00792F80"/>
    <w:rsid w:val="00796632"/>
    <w:rsid w:val="007B1270"/>
    <w:rsid w:val="007D5BFD"/>
    <w:rsid w:val="00812B82"/>
    <w:rsid w:val="00832B26"/>
    <w:rsid w:val="00845413"/>
    <w:rsid w:val="008532AE"/>
    <w:rsid w:val="00873190"/>
    <w:rsid w:val="00876358"/>
    <w:rsid w:val="008A1549"/>
    <w:rsid w:val="008B0E6A"/>
    <w:rsid w:val="008D2CF5"/>
    <w:rsid w:val="008E652A"/>
    <w:rsid w:val="00900450"/>
    <w:rsid w:val="009122BA"/>
    <w:rsid w:val="0092185A"/>
    <w:rsid w:val="009248AD"/>
    <w:rsid w:val="009328AC"/>
    <w:rsid w:val="009438AC"/>
    <w:rsid w:val="0094729C"/>
    <w:rsid w:val="00961148"/>
    <w:rsid w:val="00986A88"/>
    <w:rsid w:val="009940FC"/>
    <w:rsid w:val="00997ABC"/>
    <w:rsid w:val="009B0DFA"/>
    <w:rsid w:val="009B30B3"/>
    <w:rsid w:val="00A53A9D"/>
    <w:rsid w:val="00A62176"/>
    <w:rsid w:val="00A72574"/>
    <w:rsid w:val="00A82464"/>
    <w:rsid w:val="00A97CF6"/>
    <w:rsid w:val="00AC0097"/>
    <w:rsid w:val="00AC066A"/>
    <w:rsid w:val="00AE1D65"/>
    <w:rsid w:val="00AF72A1"/>
    <w:rsid w:val="00B11CE0"/>
    <w:rsid w:val="00B20F29"/>
    <w:rsid w:val="00B7682C"/>
    <w:rsid w:val="00B87BA9"/>
    <w:rsid w:val="00B945FC"/>
    <w:rsid w:val="00BA62A7"/>
    <w:rsid w:val="00BE1B1D"/>
    <w:rsid w:val="00BF3E98"/>
    <w:rsid w:val="00C100AA"/>
    <w:rsid w:val="00C1496A"/>
    <w:rsid w:val="00C20511"/>
    <w:rsid w:val="00C35C45"/>
    <w:rsid w:val="00C5528E"/>
    <w:rsid w:val="00C55EB4"/>
    <w:rsid w:val="00C91CEB"/>
    <w:rsid w:val="00CC7306"/>
    <w:rsid w:val="00CD6AAC"/>
    <w:rsid w:val="00CE5EF1"/>
    <w:rsid w:val="00D01411"/>
    <w:rsid w:val="00D22708"/>
    <w:rsid w:val="00D31166"/>
    <w:rsid w:val="00D5662D"/>
    <w:rsid w:val="00D82D76"/>
    <w:rsid w:val="00D8739F"/>
    <w:rsid w:val="00DA46DF"/>
    <w:rsid w:val="00DB3B3A"/>
    <w:rsid w:val="00DB473B"/>
    <w:rsid w:val="00DC075B"/>
    <w:rsid w:val="00DC0C36"/>
    <w:rsid w:val="00DD209F"/>
    <w:rsid w:val="00DF4CE6"/>
    <w:rsid w:val="00E26064"/>
    <w:rsid w:val="00E3060B"/>
    <w:rsid w:val="00E3137E"/>
    <w:rsid w:val="00E42D80"/>
    <w:rsid w:val="00E47554"/>
    <w:rsid w:val="00E61BFF"/>
    <w:rsid w:val="00E65F2D"/>
    <w:rsid w:val="00E76DCA"/>
    <w:rsid w:val="00EB0E09"/>
    <w:rsid w:val="00EB6499"/>
    <w:rsid w:val="00EE0A86"/>
    <w:rsid w:val="00EE4B06"/>
    <w:rsid w:val="00EF2E50"/>
    <w:rsid w:val="00EF7DDC"/>
    <w:rsid w:val="00F250B5"/>
    <w:rsid w:val="00F50178"/>
    <w:rsid w:val="00F6350F"/>
    <w:rsid w:val="00F851B7"/>
    <w:rsid w:val="00F97C20"/>
    <w:rsid w:val="00FA6DFC"/>
    <w:rsid w:val="00FC1126"/>
    <w:rsid w:val="00FE69DD"/>
    <w:rsid w:val="01ADF385"/>
    <w:rsid w:val="01DD80BD"/>
    <w:rsid w:val="01EE1DBD"/>
    <w:rsid w:val="02664CBA"/>
    <w:rsid w:val="0387C0EF"/>
    <w:rsid w:val="03A70873"/>
    <w:rsid w:val="04599DB5"/>
    <w:rsid w:val="0645E47F"/>
    <w:rsid w:val="0661E357"/>
    <w:rsid w:val="06C1963A"/>
    <w:rsid w:val="0777AFF7"/>
    <w:rsid w:val="07E1B4E0"/>
    <w:rsid w:val="0863865F"/>
    <w:rsid w:val="08C5A819"/>
    <w:rsid w:val="09FF56C0"/>
    <w:rsid w:val="0A7A5FC2"/>
    <w:rsid w:val="0BA89A36"/>
    <w:rsid w:val="0BEF9DA3"/>
    <w:rsid w:val="0CF7769E"/>
    <w:rsid w:val="0DA68E67"/>
    <w:rsid w:val="0E424524"/>
    <w:rsid w:val="0ED6628A"/>
    <w:rsid w:val="0FDE5F15"/>
    <w:rsid w:val="10A1115C"/>
    <w:rsid w:val="11E85DFD"/>
    <w:rsid w:val="137D882A"/>
    <w:rsid w:val="1447314C"/>
    <w:rsid w:val="14695D97"/>
    <w:rsid w:val="14D76807"/>
    <w:rsid w:val="14DF8763"/>
    <w:rsid w:val="15645E36"/>
    <w:rsid w:val="162D0176"/>
    <w:rsid w:val="169C4DCF"/>
    <w:rsid w:val="17376463"/>
    <w:rsid w:val="179FB802"/>
    <w:rsid w:val="183E61F4"/>
    <w:rsid w:val="193191A8"/>
    <w:rsid w:val="194CFA12"/>
    <w:rsid w:val="1ACD6209"/>
    <w:rsid w:val="1B8A9D41"/>
    <w:rsid w:val="1B8D5F6C"/>
    <w:rsid w:val="1C063DBC"/>
    <w:rsid w:val="1CEC2DB6"/>
    <w:rsid w:val="1FC38643"/>
    <w:rsid w:val="21378A80"/>
    <w:rsid w:val="2252EE20"/>
    <w:rsid w:val="22A52E6F"/>
    <w:rsid w:val="2500098C"/>
    <w:rsid w:val="25F01CD3"/>
    <w:rsid w:val="267E415F"/>
    <w:rsid w:val="278A24A1"/>
    <w:rsid w:val="2869501F"/>
    <w:rsid w:val="296BD387"/>
    <w:rsid w:val="29CD4416"/>
    <w:rsid w:val="2A3EDC01"/>
    <w:rsid w:val="2A7A3321"/>
    <w:rsid w:val="2AE0E20D"/>
    <w:rsid w:val="2BDAAC62"/>
    <w:rsid w:val="2CD648CB"/>
    <w:rsid w:val="2CF24C9E"/>
    <w:rsid w:val="2D8ED8D5"/>
    <w:rsid w:val="2DCAD69F"/>
    <w:rsid w:val="2DCCE8C8"/>
    <w:rsid w:val="2E96052C"/>
    <w:rsid w:val="2EF6201D"/>
    <w:rsid w:val="2FAB1F53"/>
    <w:rsid w:val="30542F62"/>
    <w:rsid w:val="30F53B4A"/>
    <w:rsid w:val="318ECB29"/>
    <w:rsid w:val="3249EDE6"/>
    <w:rsid w:val="327F8F4C"/>
    <w:rsid w:val="35E271F7"/>
    <w:rsid w:val="369FC63E"/>
    <w:rsid w:val="37ECB284"/>
    <w:rsid w:val="37FFBBAE"/>
    <w:rsid w:val="388C3942"/>
    <w:rsid w:val="38E35C8F"/>
    <w:rsid w:val="3A0F46E8"/>
    <w:rsid w:val="3A5F35DB"/>
    <w:rsid w:val="3A95FE89"/>
    <w:rsid w:val="3A9EF642"/>
    <w:rsid w:val="3D02DC64"/>
    <w:rsid w:val="3D80DE39"/>
    <w:rsid w:val="4008245E"/>
    <w:rsid w:val="4073E3F0"/>
    <w:rsid w:val="41AA8F6B"/>
    <w:rsid w:val="43798CF4"/>
    <w:rsid w:val="4403CF97"/>
    <w:rsid w:val="44B21E92"/>
    <w:rsid w:val="46DB1CE2"/>
    <w:rsid w:val="479E1915"/>
    <w:rsid w:val="47FB91E3"/>
    <w:rsid w:val="480BB768"/>
    <w:rsid w:val="485D3238"/>
    <w:rsid w:val="48D422AE"/>
    <w:rsid w:val="4A4F1916"/>
    <w:rsid w:val="4D6A6C3B"/>
    <w:rsid w:val="4F12CBCA"/>
    <w:rsid w:val="4F39AE7C"/>
    <w:rsid w:val="4F4C4348"/>
    <w:rsid w:val="50624C01"/>
    <w:rsid w:val="51138560"/>
    <w:rsid w:val="52A1A6BF"/>
    <w:rsid w:val="532D5B05"/>
    <w:rsid w:val="53740CC9"/>
    <w:rsid w:val="53AF62A1"/>
    <w:rsid w:val="5401F7F2"/>
    <w:rsid w:val="54DEE94E"/>
    <w:rsid w:val="566F7325"/>
    <w:rsid w:val="568FFAFF"/>
    <w:rsid w:val="573E92E4"/>
    <w:rsid w:val="57A14C16"/>
    <w:rsid w:val="57E02EF4"/>
    <w:rsid w:val="580DBDF0"/>
    <w:rsid w:val="58CC88CC"/>
    <w:rsid w:val="598E8302"/>
    <w:rsid w:val="5AAB22ED"/>
    <w:rsid w:val="5BFAAE04"/>
    <w:rsid w:val="5CB08429"/>
    <w:rsid w:val="5D9E4BE9"/>
    <w:rsid w:val="5E2D3BEE"/>
    <w:rsid w:val="5E43E410"/>
    <w:rsid w:val="5E5BDD7D"/>
    <w:rsid w:val="5F244DEC"/>
    <w:rsid w:val="60C01E4D"/>
    <w:rsid w:val="60D5ECAB"/>
    <w:rsid w:val="60F7A85A"/>
    <w:rsid w:val="6117EE42"/>
    <w:rsid w:val="629377D1"/>
    <w:rsid w:val="630FCD4F"/>
    <w:rsid w:val="63A15A78"/>
    <w:rsid w:val="641252CA"/>
    <w:rsid w:val="650A9994"/>
    <w:rsid w:val="667091DF"/>
    <w:rsid w:val="67E57D7D"/>
    <w:rsid w:val="68F71A2E"/>
    <w:rsid w:val="6926A766"/>
    <w:rsid w:val="69C4FA87"/>
    <w:rsid w:val="69CCD25A"/>
    <w:rsid w:val="6A1423BE"/>
    <w:rsid w:val="6B1FF408"/>
    <w:rsid w:val="6BCCB779"/>
    <w:rsid w:val="6BD54DEF"/>
    <w:rsid w:val="6C71DC33"/>
    <w:rsid w:val="6C8047E7"/>
    <w:rsid w:val="6D54D4E6"/>
    <w:rsid w:val="6D5667DE"/>
    <w:rsid w:val="6EB103E9"/>
    <w:rsid w:val="6F8C2E9D"/>
    <w:rsid w:val="6FEBDD47"/>
    <w:rsid w:val="702ADAAA"/>
    <w:rsid w:val="711FFE63"/>
    <w:rsid w:val="715B8F9F"/>
    <w:rsid w:val="728BC483"/>
    <w:rsid w:val="72BBCEC4"/>
    <w:rsid w:val="735D3906"/>
    <w:rsid w:val="7495289F"/>
    <w:rsid w:val="74EC4BEC"/>
    <w:rsid w:val="7528F964"/>
    <w:rsid w:val="7569059A"/>
    <w:rsid w:val="75809965"/>
    <w:rsid w:val="75B78FF5"/>
    <w:rsid w:val="75F8A47E"/>
    <w:rsid w:val="7719F390"/>
    <w:rsid w:val="787C6076"/>
    <w:rsid w:val="788D113F"/>
    <w:rsid w:val="7AD47E32"/>
    <w:rsid w:val="7B7EDC38"/>
    <w:rsid w:val="7BF6CC50"/>
    <w:rsid w:val="7C239701"/>
    <w:rsid w:val="7CF03555"/>
    <w:rsid w:val="7D11977D"/>
    <w:rsid w:val="7D258FF8"/>
    <w:rsid w:val="7F30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3B5F"/>
  <w15:chartTrackingRefBased/>
  <w15:docId w15:val="{9F5D6EAE-CD02-448C-BDFA-43D3150C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A1549"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4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241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02241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F3E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E98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F3E98"/>
    <w:rPr>
      <w:rFonts w:ascii="Times New Roman" w:hAnsi="Times New Roman"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3E9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F3E98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normaltextrun" w:customStyle="1">
    <w:name w:val="normaltextrun"/>
    <w:basedOn w:val="DefaultParagraphFont"/>
    <w:rsid w:val="00AE1D65"/>
  </w:style>
  <w:style w:type="character" w:styleId="tabchar" w:customStyle="1">
    <w:name w:val="tabchar"/>
    <w:basedOn w:val="DefaultParagraphFont"/>
    <w:rsid w:val="00900450"/>
  </w:style>
  <w:style w:type="character" w:styleId="eop" w:customStyle="1">
    <w:name w:val="eop"/>
    <w:basedOn w:val="DefaultParagraphFont"/>
    <w:rsid w:val="00900450"/>
  </w:style>
  <w:style w:type="paragraph" w:styleId="Revision">
    <w:name w:val="Revision"/>
    <w:hidden/>
    <w:uiPriority w:val="99"/>
    <w:semiHidden/>
    <w:rsid w:val="00361B2B"/>
    <w:rPr>
      <w:rFonts w:ascii="Times New Roman" w:hAnsi="Times New Roman" w:eastAsia="Times New Roman" w:cs="Times New Roman"/>
    </w:rPr>
  </w:style>
  <w:style w:type="character" w:styleId="Emphasis">
    <w:name w:val="Emphasis"/>
    <w:basedOn w:val="DefaultParagraphFont"/>
    <w:uiPriority w:val="20"/>
    <w:qFormat/>
    <w:rsid w:val="00AC0097"/>
    <w:rPr>
      <w:i/>
      <w:iCs/>
    </w:rPr>
  </w:style>
  <w:style w:type="character" w:styleId="apple-converted-space" w:customStyle="1">
    <w:name w:val="apple-converted-space"/>
    <w:basedOn w:val="DefaultParagraphFont"/>
    <w:rsid w:val="00CE5EF1"/>
  </w:style>
  <w:style w:type="paragraph" w:styleId="font9" w:customStyle="1">
    <w:name w:val="font_9"/>
    <w:basedOn w:val="Normal"/>
    <w:rsid w:val="0001156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b@hrw.org" TargetMode="Externa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rw.org/" TargetMode="Externa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D5871FA913FA44BB1132F3930C67CB" ma:contentTypeVersion="18" ma:contentTypeDescription="Create a new document." ma:contentTypeScope="" ma:versionID="5161c0056b0abc47c430796736fbeca6">
  <xsd:schema xmlns:xsd="http://www.w3.org/2001/XMLSchema" xmlns:xs="http://www.w3.org/2001/XMLSchema" xmlns:p="http://schemas.microsoft.com/office/2006/metadata/properties" xmlns:ns2="11e18f46-bd3c-46db-8df1-7107b99d24b3" xmlns:ns3="623a4dc3-2c58-486a-9e57-493ba81c4bf0" targetNamespace="http://schemas.microsoft.com/office/2006/metadata/properties" ma:root="true" ma:fieldsID="f0a1beaa1c488cc2dac220da210f64e1" ns2:_="" ns3:_="">
    <xsd:import namespace="11e18f46-bd3c-46db-8df1-7107b99d24b3"/>
    <xsd:import namespace="623a4dc3-2c58-486a-9e57-493ba81c4b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e18f46-bd3c-46db-8df1-7107b99d24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d1fdafe-9854-4240-ab20-80134166ca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a4dc3-2c58-486a-9e57-493ba81c4bf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e14c75a-af63-47b2-aef1-21a4d5ee6c67}" ma:internalName="TaxCatchAll" ma:showField="CatchAllData" ma:web="623a4dc3-2c58-486a-9e57-493ba81c4b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1e18f46-bd3c-46db-8df1-7107b99d24b3">
      <Terms xmlns="http://schemas.microsoft.com/office/infopath/2007/PartnerControls"/>
    </lcf76f155ced4ddcb4097134ff3c332f>
    <TaxCatchAll xmlns="623a4dc3-2c58-486a-9e57-493ba81c4bf0" xsi:nil="true"/>
  </documentManagement>
</p:properties>
</file>

<file path=customXml/itemProps1.xml><?xml version="1.0" encoding="utf-8"?>
<ds:datastoreItem xmlns:ds="http://schemas.openxmlformats.org/officeDocument/2006/customXml" ds:itemID="{2603F2AD-D81D-EB4B-B35B-C685688F78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FBB871-3E74-42C0-940C-408A099B1A5F}"/>
</file>

<file path=customXml/itemProps3.xml><?xml version="1.0" encoding="utf-8"?>
<ds:datastoreItem xmlns:ds="http://schemas.openxmlformats.org/officeDocument/2006/customXml" ds:itemID="{29596AB7-6C78-45F1-8945-66B257EA6C2B}"/>
</file>

<file path=customXml/itemProps4.xml><?xml version="1.0" encoding="utf-8"?>
<ds:datastoreItem xmlns:ds="http://schemas.openxmlformats.org/officeDocument/2006/customXml" ds:itemID="{EB3C572E-BBD2-4960-8A34-0F91BD68C82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Root</cp:lastModifiedBy>
  <cp:revision>4</cp:revision>
  <dcterms:created xsi:type="dcterms:W3CDTF">2021-12-14T21:22:00Z</dcterms:created>
  <dcterms:modified xsi:type="dcterms:W3CDTF">2021-12-17T22:13:36Z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0x01010062D5871FA913FA44BB1132F3930C67CB</vt:lpwstr>
  </property>
</Properties>
</file>