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1B2A4A" w:sz="0"/>
          <w:left w:val="none" w:color="1B2A4A" w:sz="0"/>
          <w:bottom w:val="none" w:color="1B2A4A" w:sz="0"/>
          <w:right w:val="none" w:color="1B2A4A" w:sz="0"/>
          <w:insideH w:val="none" w:color="1B2A4A" w:sz="0"/>
          <w:insideV w:val="none" w:color="1B2A4A" w:sz="0"/>
        </w:tblBorders>
      </w:tblPr>
      <w:tblGrid>
        <w:gridCol w:w="100"/>
      </w:tblGrid>
      <w:tr>
        <w:tc>
          <w:tcPr>
            <w:tcW w:type="pct" w:w="100%"/>
            <w:shd w:fill="1B2A4A" w:val="clear"/>
            <w:tcMar>
              <w:top w:type="dxa" w:w="340"/>
              <w:left w:type="dxa" w:w="720"/>
              <w:bottom w:type="dxa" w:w="300"/>
              <w:right w:type="dxa" w:w="7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F5F3EE"/>
                <w:sz w:val="44"/>
                <w:szCs w:val="44"/>
              </w:rPr>
              <w:t xml:space="preserve">Hammad Ali Rana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color w:val="C9A24B"/>
                <w:sz w:val="22"/>
                <w:szCs w:val="22"/>
              </w:rPr>
              <w:t xml:space="preserve">Governance, Risk &amp; Compliance  |  Cybersecurity</w:t>
            </w:r>
          </w:p>
          <w:p>
            <w:r>
              <w:rPr>
                <w:rFonts w:ascii="Arial" w:cs="Arial" w:eastAsia="Arial" w:hAnsi="Arial"/>
                <w:color w:val="D8DEEA"/>
                <w:sz w:val="18"/>
                <w:szCs w:val="18"/>
              </w:rPr>
              <w:t xml:space="preserve">Boston, MA   ·   917.916.5419   ·   Rana.ha@northeastern.edu</w:t>
            </w:r>
          </w:p>
          <w:p>
            <w:r>
              <w:rPr>
                <w:rFonts w:ascii="Arial" w:cs="Arial" w:eastAsia="Arial" w:hAnsi="Arial"/>
                <w:color w:val="D8DEEA"/>
                <w:sz w:val="18"/>
                <w:szCs w:val="18"/>
              </w:rPr>
              <w:t xml:space="preserve">linkedin.com/in/hammad-rana-a5b181177   ·   github.com/HammadRana1</w:t>
            </w:r>
          </w:p>
        </w:tc>
      </w:tr>
    </w:tbl>
    <w:p>
      <w:pPr>
        <w:spacing w:before="0"/>
      </w:pPr>
    </w:p>
    <w:p>
      <w:pPr>
        <w:pBdr>
          <w:bottom w:val="single" w:color="C9A24B" w:sz="6" w:space="2"/>
        </w:pBdr>
        <w:spacing w:before="220"/>
        <w:ind w:left="720" w:right="720"/>
      </w:pPr>
      <w:r>
        <w:rPr>
          <w:rFonts w:ascii="Arial" w:cs="Arial" w:eastAsia="Arial" w:hAnsi="Arial"/>
          <w:b/>
          <w:bCs/>
          <w:color w:val="3C6E71"/>
          <w:spacing w:val="20"/>
          <w:sz w:val="20"/>
          <w:szCs w:val="20"/>
        </w:rPr>
        <w:t xml:space="preserve">SUMMARY</w:t>
      </w:r>
    </w:p>
    <w:p>
      <w:pPr>
        <w:spacing w:after="60" w:before="100"/>
        <w:ind w:left="720" w:right="72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IT professional with over a decade of experience in technical support, testing administration, and system troubleshooting. Currently pursuing a Master of Science in Information Systems at Northeastern University, with a personal focus on cybersecurity and governance, risk, and compliance (GRC). Passionate about leveraging hands-on operational expertise to contribute to IT security and compliance initiatives.</w:t>
      </w:r>
    </w:p>
    <w:p>
      <w:pPr>
        <w:pBdr>
          <w:bottom w:val="single" w:color="C9A24B" w:sz="6" w:space="2"/>
        </w:pBdr>
        <w:spacing w:before="220"/>
        <w:ind w:left="720" w:right="720"/>
      </w:pPr>
      <w:r>
        <w:rPr>
          <w:rFonts w:ascii="Arial" w:cs="Arial" w:eastAsia="Arial" w:hAnsi="Arial"/>
          <w:b/>
          <w:bCs/>
          <w:color w:val="3C6E71"/>
          <w:spacing w:val="20"/>
          <w:sz w:val="20"/>
          <w:szCs w:val="20"/>
        </w:rPr>
        <w:t xml:space="preserve">EDUCATION</w:t>
      </w:r>
    </w:p>
    <w:p>
      <w:pPr>
        <w:tabs>
          <w:tab w:val="right" w:pos="10512"/>
        </w:tabs>
        <w:spacing w:after="10" w:before="100"/>
        <w:ind w:left="720" w:right="7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Northeastern University, Boston, MA</w:t>
      </w: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	Expected December 23, 2026</w:t>
      </w:r>
    </w:p>
    <w:p>
      <w:pPr>
        <w:spacing w:after="60"/>
        <w:ind w:left="720" w:right="72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Master of Science in Information Systems (MSIS)</w:t>
      </w:r>
    </w:p>
    <w:p>
      <w:pPr>
        <w:pBdr>
          <w:bottom w:val="single" w:color="C9A24B" w:sz="6" w:space="2"/>
        </w:pBdr>
        <w:spacing w:before="220"/>
        <w:ind w:left="720" w:right="720"/>
      </w:pPr>
      <w:r>
        <w:rPr>
          <w:rFonts w:ascii="Arial" w:cs="Arial" w:eastAsia="Arial" w:hAnsi="Arial"/>
          <w:b/>
          <w:bCs/>
          <w:color w:val="3C6E71"/>
          <w:spacing w:val="20"/>
          <w:sz w:val="20"/>
          <w:szCs w:val="20"/>
        </w:rPr>
        <w:t xml:space="preserve">SKILLS</w:t>
      </w:r>
    </w:p>
    <w:p>
      <w:pPr>
        <w:spacing w:after="40" w:before="100"/>
        <w:ind w:left="720" w:right="7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Technical: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HTML5, CSS3, JavaScript, SQL, Oracle, Linux (Basic), WordPress (Website Development, On-Page &amp; Off-Page SEO), Shopify, WooCommerce, Social Media Marketing (Client Campaigns)</w:t>
      </w:r>
    </w:p>
    <w:p>
      <w:pPr>
        <w:spacing w:after="60"/>
        <w:ind w:left="720" w:right="7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Software/Tools: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Adobe Premiere Pro, Photoshop, NetBeans, UniFLOW, YSoft, MS Office, TOEFL &amp; Pearson VUE Systems</w:t>
      </w:r>
    </w:p>
    <w:p>
      <w:pPr>
        <w:spacing w:after="60"/>
        <w:ind w:left="720" w:right="7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Other: </w:t>
      </w:r>
      <w:r>
        <w:rPr>
          <w:rFonts w:ascii="Arial" w:cs="Arial" w:eastAsia="Arial" w:hAnsi="Arial"/>
          <w:color w:val="2B2B2B"/>
          <w:sz w:val="20"/>
          <w:szCs w:val="20"/>
        </w:rPr>
        <w:t xml:space="preserve">Cybersecurity Fundamentals, Operational Risk Management, IT Troubleshooting, Digital Marketing, Content Writing, Administrative Tasks, Problem Solving</w:t>
      </w:r>
    </w:p>
    <w:p>
      <w:pPr>
        <w:pBdr>
          <w:bottom w:val="single" w:color="C9A24B" w:sz="6" w:space="2"/>
        </w:pBdr>
        <w:spacing w:before="220"/>
        <w:ind w:left="720" w:right="720"/>
      </w:pPr>
      <w:r>
        <w:rPr>
          <w:rFonts w:ascii="Arial" w:cs="Arial" w:eastAsia="Arial" w:hAnsi="Arial"/>
          <w:b/>
          <w:bCs/>
          <w:color w:val="3C6E71"/>
          <w:spacing w:val="20"/>
          <w:sz w:val="20"/>
          <w:szCs w:val="20"/>
        </w:rPr>
        <w:t xml:space="preserve">EXPERIENCE</w:t>
      </w:r>
    </w:p>
    <w:p>
      <w:pPr>
        <w:tabs>
          <w:tab w:val="right" w:pos="10512"/>
        </w:tabs>
        <w:spacing w:after="20" w:before="130"/>
        <w:ind w:left="720" w:right="7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Testing Center Officer</w:t>
      </w: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	April 2024 – August 2025</w:t>
      </w:r>
    </w:p>
    <w:p>
      <w:pPr>
        <w:spacing w:after="70"/>
        <w:ind w:left="720" w:right="720"/>
      </w:pPr>
      <w:r>
        <w:rPr>
          <w:rFonts w:ascii="Arial" w:cs="Arial" w:eastAsia="Arial" w:hAnsi="Arial"/>
          <w:i/>
          <w:iCs/>
          <w:color w:val="3C6E71"/>
          <w:sz w:val="19"/>
          <w:szCs w:val="19"/>
        </w:rPr>
        <w:t xml:space="preserve">Gulf University for Science and Technology, Kuwait</w:t>
      </w:r>
    </w:p>
    <w:p>
      <w:pPr>
        <w:pStyle w:val="ListParagraph"/>
        <w:numPr>
          <w:ilvl w:val="0"/>
          <w:numId w:val="1"/>
        </w:numPr>
        <w:spacing w:after="60"/>
        <w:ind w:left="1080" w:right="720" w:hanging="20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Administered and proctored 10,000+ university placement tests, international examinations, and external examination events, ensuring 100% compliance with institutional policies and testing agency standards</w:t>
      </w:r>
    </w:p>
    <w:p>
      <w:pPr>
        <w:pStyle w:val="ListParagraph"/>
        <w:numPr>
          <w:ilvl w:val="0"/>
          <w:numId w:val="1"/>
        </w:numPr>
        <w:spacing w:after="60"/>
        <w:ind w:left="1080" w:right="720" w:hanging="20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Managed and maintained testing servers and workstations as an ETA-certified proctor for TOEFL and Pearson VUE examinations, supporting seamless exam delivery for internal and external candidates</w:t>
      </w:r>
    </w:p>
    <w:p>
      <w:pPr>
        <w:pStyle w:val="ListParagraph"/>
        <w:numPr>
          <w:ilvl w:val="0"/>
          <w:numId w:val="1"/>
        </w:numPr>
        <w:spacing w:after="60"/>
        <w:ind w:left="1080" w:right="720" w:hanging="20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Coordinated test scheduling, verified candidate eligibility, and supervised external events hosted at the testing center, processing 500+ candidates monthly while ensuring secure handling of examination materials</w:t>
      </w:r>
    </w:p>
    <w:p>
      <w:pPr>
        <w:pStyle w:val="ListParagraph"/>
        <w:numPr>
          <w:ilvl w:val="0"/>
          <w:numId w:val="1"/>
        </w:numPr>
        <w:spacing w:after="60"/>
        <w:ind w:left="1080" w:right="720" w:hanging="20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Maintained confidentiality and test security through accurate data entry, reporting, and processing of test results with zero security breaches, utilizing CCTV monitoring systems</w:t>
      </w:r>
    </w:p>
    <w:p>
      <w:pPr>
        <w:pStyle w:val="ListParagraph"/>
        <w:numPr>
          <w:ilvl w:val="0"/>
          <w:numId w:val="1"/>
        </w:numPr>
        <w:spacing w:after="60"/>
        <w:ind w:left="1080" w:right="720" w:hanging="20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Resolved testing-related issues efficiently, reducing exam disruptions and supporting continuous improvement of testing procedures</w:t>
      </w:r>
    </w:p>
    <w:p>
      <w:pPr>
        <w:tabs>
          <w:tab w:val="right" w:pos="10512"/>
        </w:tabs>
        <w:spacing w:after="20" w:before="150"/>
        <w:ind w:left="720" w:right="7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IT Technical Support Specialist</w:t>
      </w: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	April 2013 – April 2024</w:t>
      </w:r>
    </w:p>
    <w:p>
      <w:pPr>
        <w:spacing w:after="70"/>
        <w:ind w:left="720" w:right="720"/>
      </w:pPr>
      <w:r>
        <w:rPr>
          <w:rFonts w:ascii="Arial" w:cs="Arial" w:eastAsia="Arial" w:hAnsi="Arial"/>
          <w:i/>
          <w:iCs/>
          <w:color w:val="3C6E71"/>
          <w:sz w:val="19"/>
          <w:szCs w:val="19"/>
        </w:rPr>
        <w:t xml:space="preserve">Gulf University for Science and Technology, Kuwait</w:t>
      </w:r>
    </w:p>
    <w:p>
      <w:pPr>
        <w:pStyle w:val="ListParagraph"/>
        <w:numPr>
          <w:ilvl w:val="0"/>
          <w:numId w:val="1"/>
        </w:numPr>
        <w:spacing w:after="60"/>
        <w:ind w:left="1080" w:right="720" w:hanging="20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Resolved 50+ weekly hardware, software, network, and Cisco telephony issues, consistently meeting SLA requirements</w:t>
      </w:r>
    </w:p>
    <w:p>
      <w:pPr>
        <w:pStyle w:val="ListParagraph"/>
        <w:numPr>
          <w:ilvl w:val="0"/>
          <w:numId w:val="1"/>
        </w:numPr>
        <w:spacing w:after="60"/>
        <w:ind w:left="1080" w:right="720" w:hanging="20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Handled and prioritized IT service requests using ticketing systems (ManageEngine, Zammad), maintaining compliance with organizational procedures and service standards</w:t>
      </w:r>
    </w:p>
    <w:p>
      <w:pPr>
        <w:pStyle w:val="ListParagraph"/>
        <w:numPr>
          <w:ilvl w:val="0"/>
          <w:numId w:val="1"/>
        </w:numPr>
        <w:spacing w:after="60"/>
        <w:ind w:left="1080" w:right="720" w:hanging="20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Installed, configured, and maintained 1,200+ devices including desktops, laptops, and peripheral devices across the university campus; troubleshooting network connectivity and Cisco IP phone issues</w:t>
      </w:r>
    </w:p>
    <w:p>
      <w:pPr>
        <w:pStyle w:val="ListParagraph"/>
        <w:numPr>
          <w:ilvl w:val="0"/>
          <w:numId w:val="1"/>
        </w:numPr>
        <w:spacing w:after="60"/>
        <w:ind w:left="1080" w:right="720" w:hanging="20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Served as the primary administrator for campus-wide print infrastructure, managing 350+ personal all-in-one printers and 30+ large-format copiers (Canon, Konica Minolta) using UniFLOW and YSoft print management solutions</w:t>
      </w:r>
    </w:p>
    <w:p>
      <w:pPr>
        <w:pStyle w:val="ListParagraph"/>
        <w:numPr>
          <w:ilvl w:val="0"/>
          <w:numId w:val="1"/>
        </w:numPr>
        <w:spacing w:after="60"/>
        <w:ind w:left="1080" w:right="720" w:hanging="20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Delivered audio-visual support for classrooms, meeting rooms, Board of Trustees meetings, and 3 large auditoriums, ensuring seamless event execution</w:t>
      </w:r>
    </w:p>
    <w:p>
      <w:pPr>
        <w:pBdr>
          <w:bottom w:val="single" w:color="C9A24B" w:sz="6" w:space="2"/>
        </w:pBdr>
        <w:spacing w:before="220"/>
        <w:ind w:left="720" w:right="720"/>
      </w:pPr>
      <w:r>
        <w:rPr>
          <w:rFonts w:ascii="Arial" w:cs="Arial" w:eastAsia="Arial" w:hAnsi="Arial"/>
          <w:b/>
          <w:bCs/>
          <w:color w:val="3C6E71"/>
          <w:spacing w:val="20"/>
          <w:sz w:val="20"/>
          <w:szCs w:val="20"/>
        </w:rPr>
        <w:t xml:space="preserve">ACADEMIC PROJECTS</w:t>
      </w:r>
    </w:p>
    <w:p>
      <w:pPr>
        <w:tabs>
          <w:tab w:val="right" w:pos="10512"/>
        </w:tabs>
        <w:spacing w:after="20" w:before="130"/>
        <w:ind w:left="720" w:right="720"/>
      </w:pPr>
      <w:r>
        <w:rPr>
          <w:rFonts w:ascii="Arial" w:cs="Arial" w:eastAsia="Arial" w:hAnsi="Arial"/>
          <w:b/>
          <w:bCs/>
          <w:color w:val="1B2A4A"/>
          <w:sz w:val="21"/>
          <w:szCs w:val="21"/>
        </w:rPr>
        <w:t xml:space="preserve">Fast Grocery Delivery Ecosystem (FGDE)</w:t>
      </w:r>
      <w:r>
        <w:rPr>
          <w:rFonts w:ascii="Arial" w:cs="Arial" w:eastAsia="Arial" w:hAnsi="Arial"/>
          <w:i/>
          <w:iCs/>
          <w:color w:val="5A5A5A"/>
          <w:sz w:val="19"/>
          <w:szCs w:val="19"/>
        </w:rPr>
        <w:t xml:space="preserve">	December 2025</w:t>
      </w:r>
    </w:p>
    <w:p>
      <w:pPr>
        <w:spacing w:after="70"/>
        <w:ind w:left="720" w:right="720"/>
      </w:pPr>
      <w:r>
        <w:rPr>
          <w:rFonts w:ascii="Arial" w:cs="Arial" w:eastAsia="Arial" w:hAnsi="Arial"/>
          <w:i/>
          <w:iCs/>
          <w:color w:val="3C6E71"/>
          <w:sz w:val="19"/>
          <w:szCs w:val="19"/>
        </w:rPr>
        <w:t xml:space="preserve">Java, DB4O</w:t>
      </w:r>
    </w:p>
    <w:p>
      <w:pPr>
        <w:pStyle w:val="ListParagraph"/>
        <w:numPr>
          <w:ilvl w:val="0"/>
          <w:numId w:val="1"/>
        </w:numPr>
        <w:spacing w:after="60"/>
        <w:ind w:left="1080" w:right="720" w:hanging="20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Collaborated in a 3-person team to build an end-to-end grocery delivery platform managing order lifecycle, inventory tracking, and delivery coordination across 8 user roles</w:t>
      </w:r>
    </w:p>
    <w:p>
      <w:pPr>
        <w:pStyle w:val="ListParagraph"/>
        <w:numPr>
          <w:ilvl w:val="0"/>
          <w:numId w:val="1"/>
        </w:numPr>
        <w:spacing w:after="60"/>
        <w:ind w:left="1080" w:right="720" w:hanging="20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Designed input validation, user authentication, and business logic validation features ensuring data integrity and secure multi-role access control</w:t>
      </w:r>
    </w:p>
    <w:p>
      <w:pPr>
        <w:pBdr>
          <w:bottom w:val="single" w:color="C9A24B" w:sz="6" w:space="2"/>
        </w:pBdr>
        <w:spacing w:before="220"/>
        <w:ind w:left="720" w:right="720"/>
      </w:pPr>
      <w:r>
        <w:rPr>
          <w:rFonts w:ascii="Arial" w:cs="Arial" w:eastAsia="Arial" w:hAnsi="Arial"/>
          <w:b/>
          <w:bCs/>
          <w:color w:val="3C6E71"/>
          <w:spacing w:val="20"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100"/>
        <w:ind w:left="720" w:right="720"/>
      </w:pPr>
      <w:r>
        <w:rPr>
          <w:rFonts w:ascii="Arial" w:cs="Arial" w:eastAsia="Arial" w:hAnsi="Arial"/>
          <w:color w:val="2B2B2B"/>
          <w:sz w:val="20"/>
          <w:szCs w:val="20"/>
        </w:rPr>
        <w:t xml:space="preserve">ETA Certified Proctor (TOEFL &amp; Pearson VUE)</w:t>
      </w:r>
    </w:p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2026-08-13T19:17:05.566Z</dcterms:created>
  <dcterms:modified xsi:type="dcterms:W3CDTF">2026-08-13T19:17:05.582Z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