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My Personal English Teacher: Progressive Web App para la Práctica de Inglés Conversacional Mediante Procesamiento Digital de Señales e Inferencia de Modelos en el Navegador</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Alejandro Zamora, Fabrizio Espinoza, Isaac Morum y José Pablo Monestel</w:t>
      </w:r>
    </w:p>
    <w:p>
      <w:pPr>
        <w:spacing w:line="480"/>
        <w:jc w:val="center"/>
      </w:pPr>
      <w:r>
        <w:rPr>
          <w:rFonts w:ascii="Times New Roman" w:cs="Times New Roman" w:eastAsia="Times New Roman" w:hAnsi="Times New Roman"/>
          <w:sz w:val="24"/>
          <w:szCs w:val="24"/>
        </w:rPr>
        <w:t xml:space="preserve">Escuela de Tecnologías de Información</w:t>
      </w:r>
    </w:p>
    <w:p>
      <w:pPr>
        <w:spacing w:line="480"/>
        <w:jc w:val="center"/>
      </w:pPr>
      <w:r>
        <w:rPr>
          <w:rFonts w:ascii="Times New Roman" w:cs="Times New Roman" w:eastAsia="Times New Roman" w:hAnsi="Times New Roman"/>
          <w:sz w:val="24"/>
          <w:szCs w:val="24"/>
        </w:rPr>
        <w:t xml:space="preserve">Señales y Sistemas</w:t>
      </w:r>
    </w:p>
    <w:p>
      <w:pPr>
        <w:spacing w:line="480"/>
        <w:jc w:val="center"/>
      </w:pPr>
      <w:r>
        <w:rPr>
          <w:rFonts w:ascii="Times New Roman" w:cs="Times New Roman" w:eastAsia="Times New Roman" w:hAnsi="Times New Roman"/>
          <w:sz w:val="24"/>
          <w:szCs w:val="24"/>
        </w:rPr>
        <w:t xml:space="preserve">Primer Avance del Proyecto</w:t>
      </w:r>
    </w:p>
    <w:p>
      <w:pPr>
        <w:spacing w:line="480"/>
        <w:jc w:val="center"/>
      </w:pPr>
      <w:r>
        <w:rPr>
          <w:rFonts w:ascii="Times New Roman" w:cs="Times New Roman" w:eastAsia="Times New Roman" w:hAnsi="Times New Roman"/>
          <w:sz w:val="24"/>
          <w:szCs w:val="24"/>
        </w:rPr>
        <w:t xml:space="preserve">28 de julio de 2026</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Nota de los autores</w:t>
      </w:r>
    </w:p>
    <w:p>
      <w:pPr>
        <w:spacing w:after="0" w:line="480"/>
        <w:ind w:firstLine="720"/>
        <w:jc w:val="both"/>
      </w:pPr>
      <w:r>
        <w:rPr>
          <w:rFonts w:ascii="Times New Roman" w:cs="Times New Roman" w:eastAsia="Times New Roman" w:hAnsi="Times New Roman"/>
          <w:sz w:val="24"/>
          <w:szCs w:val="24"/>
        </w:rPr>
        <w:t xml:space="preserve">Repositorio del proyecto: https://github.com/HumanoidCat/mpet. Aplicación desplegada: https://humanoidcat.github.io/mpet/. El trabajo se reparte en cuatro módulos con propietario y contrato definidos: Alejandro Zamora ejerce la dirección del proyecto y desarrolla el núcleo, la aplicación web progresiva y la integración; Fabrizio Espinoza desarrolla el procesamiento digital de señales; Isaac Morum desarrolla el canal de inteligencia artificial; José Pablo Monestel desarrolla la interfaz y la visualización. La contribución individual de cada integrante es verificable en el historial de confirmaciones y solicitudes de incorporación de cambios del repositorio.</w:t>
      </w:r>
    </w:p>
    <w:p>
      <w:r>
        <w:br w:type="page"/>
      </w:r>
    </w:p>
    <w:p>
      <w:pPr>
        <w:pStyle w:val="Heading1"/>
        <w:spacing w:after="0" w:line="480"/>
        <w:jc w:val="center"/>
      </w:pPr>
      <w:r>
        <w:rPr>
          <w:rFonts w:ascii="Times New Roman" w:cs="Times New Roman" w:eastAsia="Times New Roman" w:hAnsi="Times New Roman"/>
          <w:b/>
          <w:bCs/>
          <w:sz w:val="24"/>
          <w:szCs w:val="24"/>
        </w:rPr>
        <w:t xml:space="preserve">Resumen</w:t>
      </w:r>
    </w:p>
    <w:p>
      <w:pPr>
        <w:spacing w:after="0" w:line="480"/>
        <w:jc w:val="both"/>
      </w:pPr>
      <w:r>
        <w:rPr>
          <w:rFonts w:ascii="Times New Roman" w:cs="Times New Roman" w:eastAsia="Times New Roman" w:hAnsi="Times New Roman"/>
          <w:sz w:val="24"/>
          <w:szCs w:val="24"/>
        </w:rPr>
        <w:t xml:space="preserve">Este documento presenta el primer avance del proyecto My Personal English Teacher, una aplicación web progresiva para la práctica de inglés conversacional cuyo procesamiento se ejecuta íntegramente en el navegador del usuario. El sistema captura la señal de voz, la acondiciona mediante remuestreo con filtrado anti-aliasing, filtrado pasa-banda y normalización, la analiza con una transformada rápida de Fourier de implementación propia, y la procesa con modelos de reconocimiento automático del habla y de corrección gramatical ejecutados sobre WebAssembly. Se reportan las mediciones obtenidas: atenuación de alias de 73.8 dB, error relativo de 1.45 × 10⁻¹³ en la transformada frente a la definición directa, factor de tiempo real de 0.28 en el reconocimiento del habla y latencia media de 320 ms en la corrección gramatical. Se documenta además un resultado contraintuitivo del estudio de cuantización, en el que la reducción de ocho a cuatro bits degradó simultáneamente la latencia y el tamaño en caché. El trabajo se organizó mediante una arquitectura desacoplada por contratos que permitió el desarrollo paralelo de cuatro módulos independientes.</w:t>
      </w:r>
    </w:p>
    <w:p>
      <w:pPr>
        <w:spacing w:line="480"/>
        <w:ind w:firstLine="720"/>
        <w:jc w:val="both"/>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procesamiento digital de señales, teorema de muestreo, transformada de Fourier, reconocimiento automático del habla, inferencia en el borde, aplicación web progresiva</w:t>
      </w:r>
    </w:p>
    <w:p>
      <w:r>
        <w:br w:type="page"/>
      </w:r>
    </w:p>
    <w:p>
      <w:pPr>
        <w:spacing w:after="0" w:line="480"/>
        <w:ind w:firstLine="720"/>
        <w:jc w:val="both"/>
      </w:pPr>
      <w:r>
        <w:rPr>
          <w:rFonts w:ascii="Times New Roman" w:cs="Times New Roman" w:eastAsia="Times New Roman" w:hAnsi="Times New Roman"/>
          <w:sz w:val="24"/>
          <w:szCs w:val="24"/>
        </w:rPr>
        <w:t xml:space="preserve">Este problema tiene tres causas identificables:</w:t>
      </w:r>
    </w:p>
    <w:p>
      <w:pPr>
        <w:spacing w:after="0" w:line="480"/>
        <w:ind w:firstLine="720"/>
        <w:jc w:val="both"/>
      </w:pPr>
      <w:r>
        <w:rPr>
          <w:rFonts w:ascii="Times New Roman" w:cs="Times New Roman" w:eastAsia="Times New Roman" w:hAnsi="Times New Roman"/>
          <w:b/>
          <w:bCs/>
          <w:sz w:val="24"/>
          <w:szCs w:val="24"/>
        </w:rPr>
        <w:t xml:space="preserve">Barrera fonética.</w:t>
      </w:r>
      <w:r>
        <w:rPr>
          <w:rFonts w:ascii="Times New Roman" w:cs="Times New Roman" w:eastAsia="Times New Roman" w:hAnsi="Times New Roman"/>
          <w:sz w:val="24"/>
          <w:szCs w:val="24"/>
        </w:rPr>
        <w:t xml:space="preserve"> El inventario fonológico del español tiene cinco vocales; el del inglés supera las once, además de contrastes consonánticos inexistentes en español. Pares mínimos como </w:t>
      </w:r>
      <w:r>
        <w:rPr>
          <w:rFonts w:ascii="Times New Roman" w:cs="Times New Roman" w:eastAsia="Times New Roman" w:hAnsi="Times New Roman"/>
          <w:i/>
          <w:iCs/>
          <w:sz w:val="24"/>
          <w:szCs w:val="24"/>
        </w:rPr>
        <w:t xml:space="preserve">ship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sheep</w:t>
      </w:r>
      <w:r>
        <w:rPr>
          <w:rFonts w:ascii="Times New Roman" w:cs="Times New Roman" w:eastAsia="Times New Roman" w:hAnsi="Times New Roman"/>
          <w:sz w:val="24"/>
          <w:szCs w:val="24"/>
        </w:rPr>
        <w:t xml:space="preserve"> o </w:t>
      </w:r>
      <w:r>
        <w:rPr>
          <w:rFonts w:ascii="Times New Roman" w:cs="Times New Roman" w:eastAsia="Times New Roman" w:hAnsi="Times New Roman"/>
          <w:i/>
          <w:iCs/>
          <w:sz w:val="24"/>
          <w:szCs w:val="24"/>
        </w:rPr>
        <w:t xml:space="preserve">bad</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bed</w:t>
      </w:r>
      <w:r>
        <w:rPr>
          <w:rFonts w:ascii="Times New Roman" w:cs="Times New Roman" w:eastAsia="Times New Roman" w:hAnsi="Times New Roman"/>
          <w:sz w:val="24"/>
          <w:szCs w:val="24"/>
        </w:rPr>
        <w:t xml:space="preserve"> se colapsan en un mismo sonido para el oído no entrenado. El estudiante no puede corregir lo que no distingue, y sin retroalimentación externa el error se fosiliza.</w:t>
      </w:r>
    </w:p>
    <w:p>
      <w:pPr>
        <w:spacing w:after="0" w:line="480"/>
        <w:ind w:firstLine="720"/>
        <w:jc w:val="both"/>
      </w:pPr>
      <w:r>
        <w:rPr>
          <w:rFonts w:ascii="Times New Roman" w:cs="Times New Roman" w:eastAsia="Times New Roman" w:hAnsi="Times New Roman"/>
          <w:b/>
          <w:bCs/>
          <w:sz w:val="24"/>
          <w:szCs w:val="24"/>
        </w:rPr>
        <w:t xml:space="preserve">Falta de práctica conversacional accesible.</w:t>
      </w:r>
      <w:r>
        <w:rPr>
          <w:rFonts w:ascii="Times New Roman" w:cs="Times New Roman" w:eastAsia="Times New Roman" w:hAnsi="Times New Roman"/>
          <w:sz w:val="24"/>
          <w:szCs w:val="24"/>
        </w:rPr>
        <w:t xml:space="preserve"> La práctica oral efectiva exige un interlocutor que corrija en el momento. Las alternativas reales —tutorías privadas, academias, intercambios— son costosas, dependen de horarios y, sobre todo, requieren conexión estable. En zonas con conectividad limitada o para estudiantes con restricciones económicas, esa práctica simplemente no ocurre.</w:t>
      </w:r>
    </w:p>
    <w:p>
      <w:pPr>
        <w:spacing w:after="0" w:line="480"/>
        <w:ind w:firstLine="720"/>
        <w:jc w:val="both"/>
      </w:pPr>
      <w:r>
        <w:rPr>
          <w:rFonts w:ascii="Times New Roman" w:cs="Times New Roman" w:eastAsia="Times New Roman" w:hAnsi="Times New Roman"/>
          <w:b/>
          <w:bCs/>
          <w:sz w:val="24"/>
          <w:szCs w:val="24"/>
        </w:rPr>
        <w:t xml:space="preserve">Retroalimentación tardía o inexistente.</w:t>
      </w:r>
      <w:r>
        <w:rPr>
          <w:rFonts w:ascii="Times New Roman" w:cs="Times New Roman" w:eastAsia="Times New Roman" w:hAnsi="Times New Roman"/>
          <w:sz w:val="24"/>
          <w:szCs w:val="24"/>
        </w:rPr>
        <w:t xml:space="preserve"> Las aplicaciones masivas de idiomas evalúan mayoritariamente comprensión y gramática escrita. Cuando incorporan reconocimiento de voz, devuelven un veredicto binario ("correcto" / "inténtalo de nuevo") sin explicar </w:t>
      </w:r>
      <w:r>
        <w:rPr>
          <w:rFonts w:ascii="Times New Roman" w:cs="Times New Roman" w:eastAsia="Times New Roman" w:hAnsi="Times New Roman"/>
          <w:i/>
          <w:iCs/>
          <w:sz w:val="24"/>
          <w:szCs w:val="24"/>
        </w:rPr>
        <w:t xml:space="preserve">qué</w:t>
      </w:r>
      <w:r>
        <w:rPr>
          <w:rFonts w:ascii="Times New Roman" w:cs="Times New Roman" w:eastAsia="Times New Roman" w:hAnsi="Times New Roman"/>
          <w:sz w:val="24"/>
          <w:szCs w:val="24"/>
        </w:rPr>
        <w:t xml:space="preserve"> falló: si la vocal fue muy corta, si la entonación cayó donde debía subir, si el problema fue una consonante final omitida.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El problema desde la perspectiva de Señales y Sistemas</w:t>
      </w:r>
    </w:p>
    <w:p>
      <w:pPr>
        <w:spacing w:after="0" w:line="480"/>
        <w:ind w:firstLine="720"/>
        <w:jc w:val="both"/>
      </w:pPr>
      <w:r>
        <w:rPr>
          <w:rFonts w:ascii="Times New Roman" w:cs="Times New Roman" w:eastAsia="Times New Roman" w:hAnsi="Times New Roman"/>
          <w:sz w:val="24"/>
          <w:szCs w:val="24"/>
        </w:rPr>
        <w:t xml:space="preserve">Evaluar pronunciación automáticamente es, en el fondo, un problema de análisis de señales. La voz es una señal continua que debe muestrearse respetando el criterio de Nyquist, filtrarse para eliminar ruido y componentes fuera de la banda de interés, y transformarse al dominio de la frecuencia para extraer las características que efectivamente distinguen un fonema de otro. Las dificultades técnicas son concretas y medibles:</w:t>
      </w:r>
    </w:p>
    <w:p>
      <w:pPr>
        <w:pStyle w:val="ListParagraph"/>
        <w:numPr>
          <w:ilvl w:val="0"/>
          <w:numId w:val="1"/>
        </w:numPr>
        <w:spacing w:after="0" w:line="480"/>
        <w:jc w:val="both"/>
      </w:pPr>
      <w:r>
        <w:rPr>
          <w:rFonts w:ascii="Times New Roman" w:cs="Times New Roman" w:eastAsia="Times New Roman" w:hAnsi="Times New Roman"/>
          <w:b/>
          <w:bCs/>
          <w:sz w:val="24"/>
          <w:szCs w:val="24"/>
        </w:rPr>
        <w:t xml:space="preserve">Ruido ambiental y variabilidad del canal.</w:t>
      </w:r>
      <w:r>
        <w:rPr>
          <w:rFonts w:ascii="Times New Roman" w:cs="Times New Roman" w:eastAsia="Times New Roman" w:hAnsi="Times New Roman"/>
          <w:sz w:val="24"/>
          <w:szCs w:val="24"/>
        </w:rPr>
        <w:t xml:space="preserve"> El micrófono captura ruido de fondo, reverberación de la sala y distorsiones propias del dispositivo. Sin preprocesamiento, ese ruido contamina toda medición posterior.</w:t>
      </w:r>
    </w:p>
    <w:p>
      <w:pPr>
        <w:pStyle w:val="ListParagraph"/>
        <w:numPr>
          <w:ilvl w:val="0"/>
          <w:numId w:val="1"/>
        </w:numPr>
        <w:spacing w:after="0" w:line="480"/>
        <w:jc w:val="both"/>
      </w:pPr>
      <w:r>
        <w:rPr>
          <w:rFonts w:ascii="Times New Roman" w:cs="Times New Roman" w:eastAsia="Times New Roman" w:hAnsi="Times New Roman"/>
          <w:b/>
          <w:bCs/>
          <w:sz w:val="24"/>
          <w:szCs w:val="24"/>
        </w:rPr>
        <w:t xml:space="preserve">Variabilidad acústica entre hablantes.</w:t>
      </w:r>
      <w:r>
        <w:rPr>
          <w:rFonts w:ascii="Times New Roman" w:cs="Times New Roman" w:eastAsia="Times New Roman" w:hAnsi="Times New Roman"/>
          <w:sz w:val="24"/>
          <w:szCs w:val="24"/>
        </w:rPr>
        <w:t xml:space="preserve"> La misma palabra pronunciada por dos personas produce señales muy distintas en amplitud, duración y frecuencia fundamental. La comparación no puede ser muestra a muestra: requiere características robustas a esa variabilidad y alineamiento temporal.</w:t>
      </w:r>
    </w:p>
    <w:p>
      <w:pPr>
        <w:pStyle w:val="ListParagraph"/>
        <w:numPr>
          <w:ilvl w:val="0"/>
          <w:numId w:val="1"/>
        </w:numPr>
        <w:spacing w:after="0" w:line="480"/>
        <w:jc w:val="both"/>
      </w:pPr>
      <w:r>
        <w:rPr>
          <w:rFonts w:ascii="Times New Roman" w:cs="Times New Roman" w:eastAsia="Times New Roman" w:hAnsi="Times New Roman"/>
          <w:b/>
          <w:bCs/>
          <w:sz w:val="24"/>
          <w:szCs w:val="24"/>
        </w:rPr>
        <w:t xml:space="preserve">Restricción de tiempo real.</w:t>
      </w:r>
      <w:r>
        <w:rPr>
          <w:rFonts w:ascii="Times New Roman" w:cs="Times New Roman" w:eastAsia="Times New Roman" w:hAnsi="Times New Roman"/>
          <w:sz w:val="24"/>
          <w:szCs w:val="24"/>
        </w:rPr>
        <w:t xml:space="preserve"> El análisis debe ocurrir mientras el usuario habla, sin bloquear la interfaz, y con retroalimentación en menos de dos segundos para que la corrección resulte útil pedagógicamente.</w:t>
      </w:r>
    </w:p>
    <w:p>
      <w:pPr>
        <w:spacing w:after="0" w:line="480"/>
        <w:ind w:firstLine="720"/>
        <w:jc w:val="both"/>
      </w:pPr>
      <w:r>
        <w:rPr>
          <w:rFonts w:ascii="Times New Roman" w:cs="Times New Roman" w:eastAsia="Times New Roman" w:hAnsi="Times New Roman"/>
          <w:sz w:val="24"/>
          <w:szCs w:val="24"/>
        </w:rPr>
        <w:t xml:space="preserve">El proyecto aborda estas dificultades aplicando muestreo y decimación con filtro anti-aliasing, filtrado en banda de voz, transformada de Fourier de tiempo corto, extracción de coeficientes cepstrales en escala mel (MFCC), detección de frecuencia fundamental y comparación mediante alineamiento temporal dinámico.</w:t>
      </w:r>
    </w:p>
    <w:p>
      <w:pPr>
        <w:pStyle w:val="Heading1"/>
        <w:spacing w:after="0" w:before="240" w:line="480"/>
        <w:jc w:val="center"/>
      </w:pPr>
      <w:r>
        <w:rPr>
          <w:rFonts w:ascii="Times New Roman" w:cs="Times New Roman" w:eastAsia="Times New Roman" w:hAnsi="Times New Roman"/>
          <w:b/>
          <w:bCs/>
          <w:i w:val="false"/>
          <w:iCs w:val="false"/>
          <w:sz w:val="24"/>
          <w:szCs w:val="24"/>
        </w:rPr>
        <w:t xml:space="preserve">Justificación</w:t>
      </w:r>
    </w:p>
    <w:p>
      <w:pPr>
        <w:spacing w:after="0" w:line="480"/>
        <w:ind w:firstLine="720"/>
        <w:jc w:val="both"/>
      </w:pPr>
      <w:r>
        <w:rPr>
          <w:rFonts w:ascii="Times New Roman" w:cs="Times New Roman" w:eastAsia="Times New Roman" w:hAnsi="Times New Roman"/>
          <w:b/>
          <w:bCs/>
          <w:sz w:val="24"/>
          <w:szCs w:val="24"/>
        </w:rPr>
        <w:t xml:space="preserve">Valor educativo.</w:t>
      </w:r>
      <w:r>
        <w:rPr>
          <w:rFonts w:ascii="Times New Roman" w:cs="Times New Roman" w:eastAsia="Times New Roman" w:hAnsi="Times New Roman"/>
          <w:sz w:val="24"/>
          <w:szCs w:val="24"/>
        </w:rPr>
        <w:t xml:space="preserve"> La retroalimentación inmediata y específica es el factor que más acelera la adquisición de una segunda lengua. Una herramienta que señale </w:t>
      </w:r>
      <w:r>
        <w:rPr>
          <w:rFonts w:ascii="Times New Roman" w:cs="Times New Roman" w:eastAsia="Times New Roman" w:hAnsi="Times New Roman"/>
          <w:i/>
          <w:iCs/>
          <w:sz w:val="24"/>
          <w:szCs w:val="24"/>
        </w:rPr>
        <w:t xml:space="preserve">qué palabra</w:t>
      </w:r>
      <w:r>
        <w:rPr>
          <w:rFonts w:ascii="Times New Roman" w:cs="Times New Roman" w:eastAsia="Times New Roman" w:hAnsi="Times New Roman"/>
          <w:sz w:val="24"/>
          <w:szCs w:val="24"/>
        </w:rPr>
        <w:t xml:space="preserve"> se pronunció mal, con qué grado de desviación y frente a qué referencia, ataca el problema de la fosilización de errores que las aplicaciones existentes dejan sin resolver.</w:t>
      </w:r>
    </w:p>
    <w:p>
      <w:pPr>
        <w:spacing w:after="0" w:line="480"/>
        <w:ind w:firstLine="720"/>
        <w:jc w:val="both"/>
      </w:pPr>
      <w:r>
        <w:rPr>
          <w:rFonts w:ascii="Times New Roman" w:cs="Times New Roman" w:eastAsia="Times New Roman" w:hAnsi="Times New Roman"/>
          <w:b/>
          <w:bCs/>
          <w:sz w:val="24"/>
          <w:szCs w:val="24"/>
        </w:rPr>
        <w:t xml:space="preserve">Accesibilidad y costo.</w:t>
      </w:r>
      <w:r>
        <w:rPr>
          <w:rFonts w:ascii="Times New Roman" w:cs="Times New Roman" w:eastAsia="Times New Roman" w:hAnsi="Times New Roman"/>
          <w:sz w:val="24"/>
          <w:szCs w:val="24"/>
        </w:rPr>
        <w:t xml:space="preserve"> Al ejecutarse íntegramente en el navegador del usuario, la aplicación tiene costo de operación cero: no hay servidores de inferencia, no hay cuotas por uso de API, no hay límite de sesiones. Tras la descarga inicial de los modelos funciona sin conexión, lo que la vuelve utilizable en contextos de conectividad intermitente o costosa. Esto no es una decisión estética sino la que determina si la herramienta es realmente accesible para quien más la necesita.</w:t>
      </w:r>
    </w:p>
    <w:p>
      <w:pPr>
        <w:spacing w:after="0" w:line="480"/>
        <w:ind w:firstLine="720"/>
        <w:jc w:val="both"/>
      </w:pPr>
      <w:r>
        <w:rPr>
          <w:rFonts w:ascii="Times New Roman" w:cs="Times New Roman" w:eastAsia="Times New Roman" w:hAnsi="Times New Roman"/>
          <w:b/>
          <w:bCs/>
          <w:sz w:val="24"/>
          <w:szCs w:val="24"/>
        </w:rPr>
        <w:t xml:space="preserve">Privacidad.</w:t>
      </w:r>
      <w:r>
        <w:rPr>
          <w:rFonts w:ascii="Times New Roman" w:cs="Times New Roman" w:eastAsia="Times New Roman" w:hAnsi="Times New Roman"/>
          <w:sz w:val="24"/>
          <w:szCs w:val="24"/>
        </w:rPr>
        <w:t xml:space="preserve"> La voz es un dato biométrico. En una arquitectura cliente el audio nunca sale del dispositivo: no se transmite, no se almacena en terceros, no se utiliza para entrenar modelos ajenos. La privacidad no depende de una política sino de la arquitectura.</w:t>
      </w:r>
    </w:p>
    <w:p>
      <w:pPr>
        <w:spacing w:after="0" w:line="480"/>
        <w:ind w:firstLine="720"/>
        <w:jc w:val="both"/>
      </w:pPr>
      <w:r>
        <w:rPr>
          <w:rFonts w:ascii="Times New Roman" w:cs="Times New Roman" w:eastAsia="Times New Roman" w:hAnsi="Times New Roman"/>
          <w:b/>
          <w:bCs/>
          <w:sz w:val="24"/>
          <w:szCs w:val="24"/>
        </w:rPr>
        <w:t xml:space="preserve">Pertinencia con el curso.</w:t>
      </w:r>
      <w:r>
        <w:rPr>
          <w:rFonts w:ascii="Times New Roman" w:cs="Times New Roman" w:eastAsia="Times New Roman" w:hAnsi="Times New Roman"/>
          <w:sz w:val="24"/>
          <w:szCs w:val="24"/>
        </w:rPr>
        <w:t xml:space="preserve"> El proyecto exige aplicar de forma no decorativa los contenidos de Señales y Sistemas: teorema de muestreo, aliasing, filtrado digital, DFT y espectrogramas, extracción de características, detección de periodicidad y comparación de señales. Cada uno de estos conceptos resuelve un problema concreto dentro de la aplicación, y su correctitud es verificable mediante pruebas contra señales sintéticas de parámetros conocidos y contra bibliotecas de referencia.</w:t>
      </w:r>
    </w:p>
    <w:p>
      <w:pPr>
        <w:spacing w:after="0" w:line="480"/>
        <w:ind w:firstLine="720"/>
        <w:jc w:val="both"/>
      </w:pPr>
      <w:r>
        <w:rPr>
          <w:rFonts w:ascii="Times New Roman" w:cs="Times New Roman" w:eastAsia="Times New Roman" w:hAnsi="Times New Roman"/>
          <w:b/>
          <w:bCs/>
          <w:sz w:val="24"/>
          <w:szCs w:val="24"/>
        </w:rPr>
        <w:t xml:space="preserve">Pertinencia con la industria de TI.</w:t>
      </w:r>
      <w:r>
        <w:rPr>
          <w:rFonts w:ascii="Times New Roman" w:cs="Times New Roman" w:eastAsia="Times New Roman" w:hAnsi="Times New Roman"/>
          <w:sz w:val="24"/>
          <w:szCs w:val="24"/>
        </w:rPr>
        <w:t xml:space="preserve"> La combinación de Progressive Web Apps con inferencia en el borde (</w:t>
      </w:r>
      <w:r>
        <w:rPr>
          <w:rFonts w:ascii="Times New Roman" w:cs="Times New Roman" w:eastAsia="Times New Roman" w:hAnsi="Times New Roman"/>
          <w:i/>
          <w:iCs/>
          <w:sz w:val="24"/>
          <w:szCs w:val="24"/>
        </w:rPr>
        <w:t xml:space="preserve">edge AI</w:t>
      </w:r>
      <w:r>
        <w:rPr>
          <w:rFonts w:ascii="Times New Roman" w:cs="Times New Roman" w:eastAsia="Times New Roman" w:hAnsi="Times New Roman"/>
          <w:sz w:val="24"/>
          <w:szCs w:val="24"/>
        </w:rPr>
        <w:t xml:space="preserve">) es una tendencia consolidada: reduce costos de infraestructura, elimina latencia de red y resuelve requisitos de privacidad y cumplimiento normativo. Trabajar con transformers.js, ONNX Runtime Web y cuantización de modelos corresponde a competencias vigentes en el mercado.</w:t>
      </w:r>
    </w:p>
    <w:p>
      <w:pPr>
        <w:pStyle w:val="Heading1"/>
        <w:spacing w:after="0" w:before="240" w:line="480"/>
        <w:jc w:val="center"/>
      </w:pPr>
      <w:r>
        <w:rPr>
          <w:rFonts w:ascii="Times New Roman" w:cs="Times New Roman" w:eastAsia="Times New Roman" w:hAnsi="Times New Roman"/>
          <w:b/>
          <w:bCs/>
          <w:i w:val="false"/>
          <w:iCs w:val="false"/>
          <w:sz w:val="24"/>
          <w:szCs w:val="24"/>
        </w:rPr>
        <w:t xml:space="preserve">Arquitectura propuesta a nivel macro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Principio rector: desacoplamiento por contratos</w:t>
      </w:r>
    </w:p>
    <w:p>
      <w:pPr>
        <w:spacing w:after="0" w:line="480"/>
        <w:ind w:firstLine="720"/>
        <w:jc w:val="both"/>
      </w:pPr>
      <w:r>
        <w:rPr>
          <w:rFonts w:ascii="Times New Roman" w:cs="Times New Roman" w:eastAsia="Times New Roman" w:hAnsi="Times New Roman"/>
          <w:sz w:val="24"/>
          <w:szCs w:val="24"/>
        </w:rPr>
        <w:t xml:space="preserve">La decisión arquitectónica de mayor impacto fue definir, antes de escribir código funcional, un conjunto de </w:t>
      </w:r>
      <w:r>
        <w:rPr>
          <w:rFonts w:ascii="Times New Roman" w:cs="Times New Roman" w:eastAsia="Times New Roman" w:hAnsi="Times New Roman"/>
          <w:b/>
          <w:bCs/>
          <w:sz w:val="24"/>
          <w:szCs w:val="24"/>
        </w:rPr>
        <w:t xml:space="preserve">interfaces (contratos) en TypeScript</w:t>
      </w:r>
      <w:r>
        <w:rPr>
          <w:rFonts w:ascii="Times New Roman" w:cs="Times New Roman" w:eastAsia="Times New Roman" w:hAnsi="Times New Roman"/>
          <w:sz w:val="24"/>
          <w:szCs w:val="24"/>
        </w:rPr>
        <w:t xml:space="preserve"> que delimitan la frontera entre módulos, y congelarlas al cierre de la Semana 1 (</w:t>
      </w:r>
      <w:r>
        <w:rPr>
          <w:rFonts w:ascii="Courier New" w:cs="Courier New" w:eastAsia="Courier New" w:hAnsi="Courier New"/>
          <w:sz w:val="22"/>
          <w:szCs w:val="22"/>
        </w:rPr>
        <w:t xml:space="preserve">src/shared/contracts.ts</w:t>
      </w:r>
      <w:r>
        <w:rPr>
          <w:rFonts w:ascii="Times New Roman" w:cs="Times New Roman" w:eastAsia="Times New Roman" w:hAnsi="Times New Roman"/>
          <w:sz w:val="24"/>
          <w:szCs w:val="24"/>
        </w:rPr>
        <w:t xml:space="preserve">). Cada módulo posee además una </w:t>
      </w:r>
      <w:r>
        <w:rPr>
          <w:rFonts w:ascii="Times New Roman" w:cs="Times New Roman" w:eastAsia="Times New Roman" w:hAnsi="Times New Roman"/>
          <w:b/>
          <w:bCs/>
          <w:sz w:val="24"/>
          <w:szCs w:val="24"/>
        </w:rPr>
        <w:t xml:space="preserve">implementación simulada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mock</w:t>
      </w:r>
      <w:r>
        <w:rPr>
          <w:rFonts w:ascii="Times New Roman" w:cs="Times New Roman" w:eastAsia="Times New Roman" w:hAnsi="Times New Roman"/>
          <w:sz w:val="24"/>
          <w:szCs w:val="24"/>
        </w:rPr>
        <w:t xml:space="preserve">) que respeta su contrato.</w:t>
      </w:r>
    </w:p>
    <w:p>
      <w:pPr>
        <w:spacing w:after="0" w:line="480"/>
        <w:ind w:firstLine="720"/>
        <w:jc w:val="both"/>
      </w:pPr>
      <w:r>
        <w:rPr>
          <w:rFonts w:ascii="Times New Roman" w:cs="Times New Roman" w:eastAsia="Times New Roman" w:hAnsi="Times New Roman"/>
          <w:sz w:val="24"/>
          <w:szCs w:val="24"/>
        </w:rPr>
        <w:t xml:space="preserve">Esta decisión produjo tres beneficios verificables durante el desarrollo:</w:t>
      </w:r>
    </w:p>
    <w:p>
      <w:pPr>
        <w:tabs>
          <w:tab w:val="left" w:pos="1080"/>
        </w:tabs>
        <w:spacing w:after="0" w:line="480"/>
        <w:ind w:left="1080" w:hanging="36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Trabajo verdaderamente paralelo.</w:t>
      </w:r>
      <w:r>
        <w:rPr>
          <w:rFonts w:ascii="Times New Roman" w:cs="Times New Roman" w:eastAsia="Times New Roman" w:hAnsi="Times New Roman"/>
          <w:sz w:val="24"/>
          <w:szCs w:val="24"/>
        </w:rPr>
        <w:t xml:space="preserve"> Cada integrante desarrolla contra los mocks de los demás; nadie espera código ajeno. La interfaz se desarrolló contra un generador de señal sintética antes de que existiera la captura real.</w:t>
      </w:r>
    </w:p>
    <w:p>
      <w:pPr>
        <w:tabs>
          <w:tab w:val="left" w:pos="1080"/>
        </w:tabs>
        <w:spacing w:after="0" w:line="480"/>
        <w:ind w:left="1080" w:hanging="36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Sustitución sin refactorización.</w:t>
      </w:r>
      <w:r>
        <w:rPr>
          <w:rFonts w:ascii="Times New Roman" w:cs="Times New Roman" w:eastAsia="Times New Roman" w:hAnsi="Times New Roman"/>
          <w:sz w:val="24"/>
          <w:szCs w:val="24"/>
        </w:rPr>
        <w:t xml:space="preserve"> El orquestador recibe sus dependencias por inyección: reemplazar un mock por el módulo real es cambiar una línea de composición, sin tocar lógica.</w:t>
      </w:r>
    </w:p>
    <w:p>
      <w:pPr>
        <w:tabs>
          <w:tab w:val="left" w:pos="1080"/>
        </w:tabs>
        <w:spacing w:after="0" w:line="480"/>
        <w:ind w:left="1080" w:hanging="36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Verificación aislada por módulo.</w:t>
      </w:r>
      <w:r>
        <w:rPr>
          <w:rFonts w:ascii="Times New Roman" w:cs="Times New Roman" w:eastAsia="Times New Roman" w:hAnsi="Times New Roman"/>
          <w:sz w:val="24"/>
          <w:szCs w:val="24"/>
        </w:rPr>
        <w:t xml:space="preserve"> Cada módulo se prueba contra su contrato sin depender de los demás, de modo que la suite completa corre en integración continua sin micrófono, sin descarga de modelos y sin intervención manual.</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Diagrama de bloques</w:t>
      </w:r>
    </w:p>
    <w:p>
      <w:pPr>
        <w:keepNext/>
        <w:spacing w:after="0" w:before="200" w:line="480"/>
      </w:pPr>
      <w:r>
        <w:rPr>
          <w:rFonts w:ascii="Times New Roman" w:cs="Times New Roman" w:eastAsia="Times New Roman" w:hAnsi="Times New Roman"/>
          <w:b/>
          <w:bCs/>
          <w:sz w:val="24"/>
          <w:szCs w:val="24"/>
        </w:rPr>
        <w:t xml:space="preserve">Figura 1</w:t>
      </w:r>
    </w:p>
    <w:p>
      <w:pPr>
        <w:keepNext/>
        <w:spacing w:after="120" w:line="480"/>
      </w:pPr>
      <w:r>
        <w:rPr>
          <w:rFonts w:ascii="Times New Roman" w:cs="Times New Roman" w:eastAsia="Times New Roman" w:hAnsi="Times New Roman"/>
          <w:i/>
          <w:iCs/>
          <w:sz w:val="24"/>
          <w:szCs w:val="24"/>
        </w:rPr>
        <w:t xml:space="preserve">Arquitectura de bloques del sistema y reparto de módulos por integrante</w:t>
      </w:r>
    </w:p>
    <w:p>
      <w:pPr>
        <w:spacing w:after="120" w:line="240"/>
        <w:jc w:val="center"/>
      </w:pPr>
      <w:r>
        <w:drawing>
          <wp:inline distT="0" distB="0" distL="0" distR="0">
            <wp:extent cx="59436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38600"/>
                    </a:xfrm>
                    <a:prstGeom prst="rect">
                      <a:avLst/>
                    </a:prstGeom>
                  </pic:spPr>
                </pic:pic>
              </a:graphicData>
            </a:graphic>
          </wp:inline>
        </w:drawing>
      </w:r>
    </w:p>
    <w:p>
      <w:pPr>
        <w:spacing w:after="200" w:line="240"/>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Las flechas continuas indican flujo de datos; las discontinuas, la orquestación y el precargado de modelos que realiza el núcleo. Cada recuadro punteado agrupa los módulos asignados a un integrante, delimitados por los contratos congelados en src/shared/contracts.ts.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Flujo de datos de un turno de conversación</w:t>
      </w:r>
    </w:p>
    <w:p>
      <w:pPr>
        <w:tabs>
          <w:tab w:val="left" w:pos="1080"/>
        </w:tabs>
        <w:spacing w:after="0" w:line="480"/>
        <w:ind w:left="1080" w:hanging="36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El usuario activa el micrófono. La captura entrega audio a 48 kHz (rate impuesto por el hardware, medido en el spike S1-T6) y se decima por factor entero 3 hasta 16 kHz, previo filtro anti-aliasing con corte en 7 200 Hz.</w:t>
      </w:r>
    </w:p>
    <w:p>
      <w:pPr>
        <w:tabs>
          <w:tab w:val="left" w:pos="1080"/>
        </w:tabs>
        <w:spacing w:after="0" w:line="480"/>
        <w:ind w:left="1080" w:hanging="36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Se aplica normalización RMS, filtrado pasa-banda en 80–8 000 Hz y detección de actividad de voz por umbral de energía.</w:t>
      </w:r>
    </w:p>
    <w:p>
      <w:pPr>
        <w:tabs>
          <w:tab w:val="left" w:pos="1080"/>
        </w:tabs>
        <w:spacing w:after="0" w:line="480"/>
        <w:ind w:left="1080" w:hanging="36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En paralelo: las características alimentan el visualizador en tiempo real, y el bloque PCM completo alimenta el reconocedor de voz.</w:t>
      </w:r>
    </w:p>
    <w:p>
      <w:pPr>
        <w:tabs>
          <w:tab w:val="left" w:pos="1080"/>
        </w:tabs>
        <w:spacing w:after="0" w:line="480"/>
        <w:ind w:left="1080" w:hanging="360"/>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El ASR produce la transcripción con marcas temporales por palabra; el corrector gramatical devuelve el texto corregido y la lista de ediciones; el generador produce la respuesta del tutor y las sugerencias.</w:t>
      </w:r>
    </w:p>
    <w:p>
      <w:pPr>
        <w:tabs>
          <w:tab w:val="left" w:pos="1080"/>
        </w:tabs>
        <w:spacing w:after="0" w:line="480"/>
        <w:ind w:left="1080" w:hanging="360"/>
        <w:jc w:val="both"/>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El sintetizador de voz pronuncia la frase correcta y entrega esa señal como </w:t>
      </w:r>
      <w:r>
        <w:rPr>
          <w:rFonts w:ascii="Times New Roman" w:cs="Times New Roman" w:eastAsia="Times New Roman" w:hAnsi="Times New Roman"/>
          <w:b/>
          <w:bCs/>
          <w:sz w:val="24"/>
          <w:szCs w:val="24"/>
        </w:rPr>
        <w:t xml:space="preserve">referencia acústica</w:t>
      </w:r>
      <w:r>
        <w:rPr>
          <w:rFonts w:ascii="Times New Roman" w:cs="Times New Roman" w:eastAsia="Times New Roman" w:hAnsi="Times New Roman"/>
          <w:sz w:val="24"/>
          <w:szCs w:val="24"/>
        </w:rPr>
        <w:t xml:space="preserve"> al comparador.</w:t>
      </w:r>
    </w:p>
    <w:p>
      <w:pPr>
        <w:tabs>
          <w:tab w:val="left" w:pos="1080"/>
        </w:tabs>
        <w:spacing w:after="0" w:line="480"/>
        <w:ind w:left="1080" w:hanging="360"/>
        <w:jc w:val="both"/>
      </w:pP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El comparador alinea por DTW las secuencias de MFCC del usuario y de la referencia, y produce un puntaje global y por palabra que la interfaz traduce a retroalimentación visual.</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Organización del repositorio</w:t>
      </w:r>
    </w:p>
    <w:p>
      <w:pPr>
        <w:keepNext/>
        <w:spacing w:after="0" w:before="200" w:line="480"/>
      </w:pPr>
      <w:r>
        <w:rPr>
          <w:rFonts w:ascii="Times New Roman" w:cs="Times New Roman" w:eastAsia="Times New Roman" w:hAnsi="Times New Roman"/>
          <w:b/>
          <w:bCs/>
          <w:sz w:val="24"/>
          <w:szCs w:val="24"/>
        </w:rPr>
        <w:t xml:space="preserve">Figura 2</w:t>
      </w:r>
    </w:p>
    <w:p>
      <w:pPr>
        <w:keepNext/>
        <w:spacing w:after="120" w:line="480"/>
      </w:pPr>
      <w:r>
        <w:rPr>
          <w:rFonts w:ascii="Times New Roman" w:cs="Times New Roman" w:eastAsia="Times New Roman" w:hAnsi="Times New Roman"/>
          <w:i/>
          <w:iCs/>
          <w:sz w:val="24"/>
          <w:szCs w:val="24"/>
        </w:rPr>
        <w:t xml:space="preserve">Organización del repositorio por módulo y responsable</w:t>
      </w:r>
    </w:p>
    <w:p>
      <w:pPr>
        <w:spacing w:after="0" w:line="240"/>
      </w:pPr>
      <w:r>
        <w:rPr>
          <w:rFonts w:ascii="Courier New" w:cs="Courier New" w:eastAsia="Courier New" w:hAnsi="Courier New"/>
          <w:sz w:val="18"/>
          <w:szCs w:val="18"/>
        </w:rPr>
        <w:t xml:space="preserve">mpet/</w:t>
      </w:r>
    </w:p>
    <w:p>
      <w:pPr>
        <w:spacing w:after="0" w:line="240"/>
      </w:pPr>
      <w:r>
        <w:rPr>
          <w:rFonts w:ascii="Courier New" w:cs="Courier New" w:eastAsia="Courier New" w:hAnsi="Courier New"/>
          <w:sz w:val="18"/>
          <w:szCs w:val="18"/>
        </w:rPr>
        <w:t xml:space="preserve">├── src/</w:t>
      </w:r>
    </w:p>
    <w:p>
      <w:pPr>
        <w:spacing w:after="0" w:line="240"/>
      </w:pPr>
      <w:r>
        <w:rPr>
          <w:rFonts w:ascii="Courier New" w:cs="Courier New" w:eastAsia="Courier New" w:hAnsi="Courier New"/>
          <w:sz w:val="18"/>
          <w:szCs w:val="18"/>
        </w:rPr>
        <w:t xml:space="preserve">│   ├── core/      Alejandro: event bus, orquestador, service worker, almacenamiento</w:t>
      </w:r>
    </w:p>
    <w:p>
      <w:pPr>
        <w:spacing w:after="0" w:line="240"/>
      </w:pPr>
      <w:r>
        <w:rPr>
          <w:rFonts w:ascii="Courier New" w:cs="Courier New" w:eastAsia="Courier New" w:hAnsi="Courier New"/>
          <w:sz w:val="18"/>
          <w:szCs w:val="18"/>
        </w:rPr>
        <w:t xml:space="preserve">│   ├── audio/     Fabrizio: captura, dsp, caracteristicas, comparador</w:t>
      </w:r>
    </w:p>
    <w:p>
      <w:pPr>
        <w:spacing w:after="0" w:line="240"/>
      </w:pPr>
      <w:r>
        <w:rPr>
          <w:rFonts w:ascii="Courier New" w:cs="Courier New" w:eastAsia="Courier New" w:hAnsi="Courier New"/>
          <w:sz w:val="18"/>
          <w:szCs w:val="18"/>
        </w:rPr>
        <w:t xml:space="preserve">│   ├── ai/        Isaac: asr, gramatica, sugerencias, tts, cache de modelos</w:t>
      </w:r>
    </w:p>
    <w:p>
      <w:pPr>
        <w:spacing w:after="0" w:line="240"/>
      </w:pPr>
      <w:r>
        <w:rPr>
          <w:rFonts w:ascii="Courier New" w:cs="Courier New" w:eastAsia="Courier New" w:hAnsi="Courier New"/>
          <w:sz w:val="18"/>
          <w:szCs w:val="18"/>
        </w:rPr>
        <w:t xml:space="preserve">│   ├── ui/        Monestel: chat, visualizador, feedback, progreso</w:t>
      </w:r>
    </w:p>
    <w:p>
      <w:pPr>
        <w:spacing w:after="0" w:line="240"/>
      </w:pPr>
      <w:r>
        <w:rPr>
          <w:rFonts w:ascii="Courier New" w:cs="Courier New" w:eastAsia="Courier New" w:hAnsi="Courier New"/>
          <w:sz w:val="18"/>
          <w:szCs w:val="18"/>
        </w:rPr>
        <w:t xml:space="preserve">│   └── shared/    Contratos y constantes (cambios solo por PR shared-change)</w:t>
      </w:r>
    </w:p>
    <w:p>
      <w:pPr>
        <w:spacing w:after="0" w:line="240"/>
      </w:pPr>
      <w:r>
        <w:rPr>
          <w:rFonts w:ascii="Courier New" w:cs="Courier New" w:eastAsia="Courier New" w:hAnsi="Courier New"/>
          <w:sz w:val="18"/>
          <w:szCs w:val="18"/>
        </w:rPr>
        <w:t xml:space="preserve">├── mocks/         Implementaciones simuladas de cada contrato</w:t>
      </w:r>
    </w:p>
    <w:p>
      <w:pPr>
        <w:spacing w:after="0" w:line="240"/>
      </w:pPr>
      <w:r>
        <w:rPr>
          <w:rFonts w:ascii="Courier New" w:cs="Courier New" w:eastAsia="Courier New" w:hAnsi="Courier New"/>
          <w:sz w:val="18"/>
          <w:szCs w:val="18"/>
        </w:rPr>
        <w:t xml:space="preserve">├── tests/         Espejo de src/, por modulo</w:t>
      </w:r>
    </w:p>
    <w:p>
      <w:pPr>
        <w:spacing w:after="0" w:line="240"/>
      </w:pPr>
      <w:r>
        <w:rPr>
          <w:rFonts w:ascii="Courier New" w:cs="Courier New" w:eastAsia="Courier New" w:hAnsi="Courier New"/>
          <w:sz w:val="18"/>
          <w:szCs w:val="18"/>
        </w:rPr>
        <w:t xml:space="preserve">└── docs/          Planificacion, marco teorico, evidencias y entregas</w:t>
      </w:r>
    </w:p>
    <w:p>
      <w:pPr>
        <w:spacing w:line="240"/>
      </w:pPr>
      <w:r>
        <w:rPr>
          <w:rFonts w:ascii="Times New Roman" w:cs="Times New Roman" w:eastAsia="Times New Roman" w:hAnsi="Times New Roman"/>
          <w:sz w:val="24"/>
          <w:szCs w:val="24"/>
        </w:rPr>
        <w:t xml:space="preserve"/>
      </w:r>
    </w:p>
    <w:p>
      <w:pPr>
        <w:pStyle w:val="Heading2"/>
        <w:spacing w:after="0" w:before="120" w:line="480"/>
        <w:jc w:val="left"/>
      </w:pPr>
      <w:r>
        <w:rPr>
          <w:rFonts w:ascii="Times New Roman" w:cs="Times New Roman" w:eastAsia="Times New Roman" w:hAnsi="Times New Roman"/>
          <w:b/>
          <w:bCs/>
          <w:i w:val="false"/>
          <w:iCs w:val="false"/>
          <w:sz w:val="24"/>
          <w:szCs w:val="24"/>
        </w:rPr>
        <w:t xml:space="preserve">Decisiones técnicas y su justificación</w:t>
      </w:r>
    </w:p>
    <w:p>
      <w:pPr>
        <w:keepNext/>
        <w:spacing w:after="0" w:before="200" w:line="480"/>
      </w:pPr>
      <w:r>
        <w:rPr>
          <w:rFonts w:ascii="Times New Roman" w:cs="Times New Roman" w:eastAsia="Times New Roman" w:hAnsi="Times New Roman"/>
          <w:b/>
          <w:bCs/>
          <w:sz w:val="24"/>
          <w:szCs w:val="24"/>
        </w:rPr>
        <w:t xml:space="preserve">Tabla 1</w:t>
      </w:r>
    </w:p>
    <w:p>
      <w:pPr>
        <w:keepNext/>
        <w:spacing w:after="80" w:line="480"/>
      </w:pPr>
      <w:r>
        <w:rPr>
          <w:rFonts w:ascii="Times New Roman" w:cs="Times New Roman" w:eastAsia="Times New Roman" w:hAnsi="Times New Roman"/>
          <w:i/>
          <w:iCs/>
          <w:sz w:val="24"/>
          <w:szCs w:val="24"/>
        </w:rPr>
        <w:t xml:space="preserve">Decisiones técnicas adoptadas, alternativas descartadas y su justificación</w:t>
      </w:r>
    </w:p>
    <w:tbl>
      <w:tblPr>
        <w:tblW w:type="dxa" w:w="9360"/>
        <w:tblBorders>
          <w:top w:val="single" w:color="000000" w:sz="6"/>
          <w:left w:val="none"/>
          <w:bottom w:val="single" w:color="000000" w:sz="6"/>
          <w:right w:val="none"/>
          <w:insideH w:val="none"/>
          <w:insideV w:val="none"/>
        </w:tblBorders>
      </w:tblPr>
      <w:tblGrid>
        <w:gridCol w:w="2415"/>
        <w:gridCol w:w="2152"/>
        <w:gridCol w:w="4793"/>
      </w:tblGrid>
      <w:tr>
        <w:trPr>
          <w:tblHeader/>
        </w:trPr>
        <w:tc>
          <w:tcPr>
            <w:tcW w:type="dxa" w:w="2415"/>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Decisión</w:t>
            </w:r>
          </w:p>
        </w:tc>
        <w:tc>
          <w:tcPr>
            <w:tcW w:type="dxa" w:w="2152"/>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Alternativa descartada</w:t>
            </w:r>
          </w:p>
        </w:tc>
        <w:tc>
          <w:tcPr>
            <w:tcW w:type="dxa" w:w="4793"/>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Justificación</w:t>
            </w:r>
          </w:p>
        </w:tc>
      </w:tr>
      <w:tr>
        <w:trPr>
          <w:tblHeader w:val="false"/>
        </w:trPr>
        <w:tc>
          <w:tcPr>
            <w:tcW w:type="dxa" w:w="241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React 18 + Vite + TypeScript</w:t>
            </w:r>
          </w:p>
        </w:tc>
        <w:tc>
          <w:tcPr>
            <w:tcW w:type="dxa" w:w="215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JavaScript sin framework</w:t>
            </w:r>
          </w:p>
        </w:tc>
        <w:tc>
          <w:tcPr>
            <w:tcW w:type="dxa" w:w="4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Aislamiento por componentes para trabajo paralelo; el tipado estático hace que los contratos entre módulos sean verificables por el compilador, no solo por convención</w:t>
            </w:r>
          </w:p>
        </w:tc>
      </w:tr>
      <w:tr>
        <w:trPr>
          <w:tblHeader w:val="false"/>
        </w:trPr>
        <w:tc>
          <w:tcPr>
            <w:tcW w:type="dxa" w:w="241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transformers.js (Hugging Face)</w:t>
            </w:r>
          </w:p>
        </w:tc>
        <w:tc>
          <w:tcPr>
            <w:tcW w:type="dxa" w:w="215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Web Speech API como solución final</w:t>
            </w:r>
          </w:p>
        </w:tc>
        <w:tc>
          <w:tcPr>
            <w:tcW w:type="dxa" w:w="4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Web Speech delega el reconocimiento en servidores del navegador: incumple el requisito de ejecución client-side y de operación offline. Se conserva únicamente como plan de contingencia documentado</w:t>
            </w:r>
          </w:p>
        </w:tc>
      </w:tr>
      <w:tr>
        <w:trPr>
          <w:tblHeader w:val="false"/>
        </w:trPr>
        <w:tc>
          <w:tcPr>
            <w:tcW w:type="dxa" w:w="241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Whisper-tiny.en cuantizado</w:t>
            </w:r>
          </w:p>
        </w:tc>
        <w:tc>
          <w:tcPr>
            <w:tcW w:type="dxa" w:w="215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whisper-base / small</w:t>
            </w:r>
          </w:p>
        </w:tc>
        <w:tc>
          <w:tcPr>
            <w:tcW w:type="dxa" w:w="4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Medido en spike: 41 MB y RTF 0.3. Las variantes mayores comprometen la latencia objetivo sin necesidad demostrada</w:t>
            </w:r>
          </w:p>
        </w:tc>
      </w:tr>
      <w:tr>
        <w:trPr>
          <w:tblHeader w:val="false"/>
        </w:trPr>
        <w:tc>
          <w:tcPr>
            <w:tcW w:type="dxa" w:w="241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Implementación propia de FFT, MFCC y detección de pitch</w:t>
            </w:r>
          </w:p>
        </w:tc>
        <w:tc>
          <w:tcPr>
            <w:tcW w:type="dxa" w:w="215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Usar directamente una biblioteca DSP</w:t>
            </w:r>
          </w:p>
        </w:tc>
        <w:tc>
          <w:tcPr>
            <w:tcW w:type="dxa" w:w="4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Es el contenido evaluable del curso. Las bibliotecas de referencia (Meyda, librosa) se emplean como patrón de validación numérica, no como implementación</w:t>
            </w:r>
          </w:p>
        </w:tc>
      </w:tr>
      <w:tr>
        <w:trPr>
          <w:tblHeader w:val="false"/>
        </w:trPr>
        <w:tc>
          <w:tcPr>
            <w:tcW w:type="dxa" w:w="241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Decimación entera con filtro anti-aliasing explícito</w:t>
            </w:r>
          </w:p>
        </w:tc>
        <w:tc>
          <w:tcPr>
            <w:tcW w:type="dxa" w:w="215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Delegar el remuestreo al navegador</w:t>
            </w:r>
          </w:p>
        </w:tc>
        <w:tc>
          <w:tcPr>
            <w:tcW w:type="dxa" w:w="4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El remuestreador del navegador no documenta su filtro; además Safari ignora históricamente el parámetro de sample rate. La decimación explícita es portable y es evidencia directa del curso</w:t>
            </w:r>
          </w:p>
        </w:tc>
      </w:tr>
      <w:tr>
        <w:trPr>
          <w:tblHeader w:val="false"/>
        </w:trPr>
        <w:tc>
          <w:tcPr>
            <w:tcW w:type="dxa" w:w="241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AudioWorklet y Web Workers</w:t>
            </w:r>
          </w:p>
        </w:tc>
        <w:tc>
          <w:tcPr>
            <w:tcW w:type="dxa" w:w="215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Procesamiento en el hilo principal</w:t>
            </w:r>
          </w:p>
        </w:tc>
        <w:tc>
          <w:tcPr>
            <w:tcW w:type="dxa" w:w="4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Mantiene la interfaz fluida durante análisis e inferencia, requisito de la visualización en tiempo real</w:t>
            </w:r>
          </w:p>
        </w:tc>
      </w:tr>
      <w:tr>
        <w:trPr>
          <w:tblHeader w:val="false"/>
        </w:trPr>
        <w:tc>
          <w:tcPr>
            <w:tcW w:type="dxa" w:w="241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Canvas 2D para visualización</w:t>
            </w:r>
          </w:p>
        </w:tc>
        <w:tc>
          <w:tcPr>
            <w:tcW w:type="dxa" w:w="215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WebGL o bibliotecas de gráficos</w:t>
            </w:r>
          </w:p>
        </w:tc>
        <w:tc>
          <w:tcPr>
            <w:tcW w:type="dxa" w:w="4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Suficiente para el objetivo de 30 fps; evita dependencias innecesarias</w:t>
            </w:r>
          </w:p>
        </w:tc>
      </w:tr>
      <w:tr>
        <w:trPr>
          <w:tblHeader w:val="false"/>
        </w:trPr>
        <w:tc>
          <w:tcPr>
            <w:tcW w:type="dxa" w:w="241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Inyección de dependencias en el orquestador</w:t>
            </w:r>
          </w:p>
        </w:tc>
        <w:tc>
          <w:tcPr>
            <w:tcW w:type="dxa" w:w="215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Instanciación directa de módulos</w:t>
            </w:r>
          </w:p>
        </w:tc>
        <w:tc>
          <w:tcPr>
            <w:tcW w:type="dxa" w:w="4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Permite sustituir mocks por módulos reales sin modificar la lógica de coordinación</w:t>
            </w:r>
          </w:p>
        </w:tc>
      </w:tr>
    </w:tbl>
    <w:p>
      <w:pPr>
        <w:spacing w:line="240"/>
      </w:pPr>
      <w:r>
        <w:rPr>
          <w:rFonts w:ascii="Times New Roman" w:cs="Times New Roman" w:eastAsia="Times New Roman" w:hAnsi="Times New Roman"/>
          <w:sz w:val="24"/>
          <w:szCs w:val="24"/>
        </w:rPr>
        <w:t xml:space="preserve"/>
      </w:r>
    </w:p>
    <w:p>
      <w:pPr>
        <w:pStyle w:val="Heading1"/>
        <w:spacing w:after="0" w:before="240" w:line="480"/>
        <w:jc w:val="center"/>
      </w:pPr>
      <w:r>
        <w:rPr>
          <w:rFonts w:ascii="Times New Roman" w:cs="Times New Roman" w:eastAsia="Times New Roman" w:hAnsi="Times New Roman"/>
          <w:b/>
          <w:bCs/>
          <w:i w:val="false"/>
          <w:iCs w:val="false"/>
          <w:sz w:val="24"/>
          <w:szCs w:val="24"/>
        </w:rPr>
        <w:t xml:space="preserve">Objetivos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Objetivo general</w:t>
      </w:r>
    </w:p>
    <w:p>
      <w:pPr>
        <w:spacing w:after="0" w:line="480"/>
        <w:ind w:firstLine="720"/>
        <w:jc w:val="both"/>
      </w:pPr>
      <w:r>
        <w:rPr>
          <w:rFonts w:ascii="Times New Roman" w:cs="Times New Roman" w:eastAsia="Times New Roman" w:hAnsi="Times New Roman"/>
          <w:sz w:val="24"/>
          <w:szCs w:val="24"/>
        </w:rPr>
        <w:t xml:space="preserve">Desarrollar una Progressive Web App de funcionamiento offline para la práctica de inglés conversacional, que integre procesamiento digital de señales de voz e inferencia de modelos de inteligencia artificial ejecutados íntegramente en el navegador.</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Objetivos específicos</w:t>
      </w:r>
    </w:p>
    <w:p>
      <w:pPr>
        <w:tabs>
          <w:tab w:val="left" w:pos="1080"/>
        </w:tabs>
        <w:spacing w:after="0" w:line="480"/>
        <w:ind w:left="1080" w:hanging="36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Capturar y acondicionar la señal de voz en tiempo real: decimación con filtro anti-aliasing a 16 kHz, normalización RMS, filtrado pasa-banda 80–8 000 Hz y detección de actividad de voz.</w:t>
      </w:r>
    </w:p>
    <w:p>
      <w:pPr>
        <w:tabs>
          <w:tab w:val="left" w:pos="1080"/>
        </w:tabs>
        <w:spacing w:after="0" w:line="480"/>
        <w:ind w:left="1080" w:hanging="36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Alcanzar una tasa de error de palabra (WER) menor o igual al 25 % con </w:t>
      </w:r>
      <w:r>
        <w:rPr>
          <w:rFonts w:ascii="Courier New" w:cs="Courier New" w:eastAsia="Courier New" w:hAnsi="Courier New"/>
          <w:sz w:val="22"/>
          <w:szCs w:val="22"/>
        </w:rPr>
        <w:t xml:space="preserve">whisper-tiny.en</w:t>
      </w:r>
      <w:r>
        <w:rPr>
          <w:rFonts w:ascii="Times New Roman" w:cs="Times New Roman" w:eastAsia="Times New Roman" w:hAnsi="Times New Roman"/>
          <w:sz w:val="24"/>
          <w:szCs w:val="24"/>
        </w:rPr>
        <w:t xml:space="preserve"> sobre un conjunto de 50 frases de práctica.</w:t>
      </w:r>
    </w:p>
    <w:p>
      <w:pPr>
        <w:tabs>
          <w:tab w:val="left" w:pos="1080"/>
        </w:tabs>
        <w:spacing w:after="0" w:line="480"/>
        <w:ind w:left="1080" w:hanging="36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Mantener la latencia de la etapa de reconocimiento por debajo de 2 segundos para locuciones de hasta 10 palabras.</w:t>
      </w:r>
    </w:p>
    <w:p>
      <w:pPr>
        <w:tabs>
          <w:tab w:val="left" w:pos="1080"/>
        </w:tabs>
        <w:spacing w:after="0" w:line="480"/>
        <w:ind w:left="1080" w:hanging="360"/>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Implementar la extracción de 13 coeficientes MFCC y la detección de frecuencia fundamental mediante el algoritmo YIN, validando ambas contra bibliotecas de referencia con un error inferior al 5 %.</w:t>
      </w:r>
    </w:p>
    <w:p>
      <w:pPr>
        <w:tabs>
          <w:tab w:val="left" w:pos="1080"/>
        </w:tabs>
        <w:spacing w:after="0" w:line="480"/>
        <w:ind w:left="1080" w:hanging="360"/>
        <w:jc w:val="both"/>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Calcular un puntaje de pronunciación por palabra a partir de la distancia entre secuencias de características del usuario y de una referencia sintetizada, alineadas mediante DTW.</w:t>
      </w:r>
    </w:p>
    <w:p>
      <w:pPr>
        <w:tabs>
          <w:tab w:val="left" w:pos="1080"/>
        </w:tabs>
        <w:spacing w:after="0" w:line="480"/>
        <w:ind w:left="1080" w:hanging="360"/>
        <w:jc w:val="both"/>
      </w:pP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Renderizar forma de onda y espectrograma en tiempo real a 30 fps o más, sin bloquear el hilo principal de la interfaz.</w:t>
      </w:r>
    </w:p>
    <w:p>
      <w:pPr>
        <w:tabs>
          <w:tab w:val="left" w:pos="1080"/>
        </w:tabs>
        <w:spacing w:after="0" w:line="480"/>
        <w:ind w:left="1080" w:hanging="360"/>
        <w:jc w:val="both"/>
      </w:pP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Garantizar operación offline completa tras la carga inicial de los modelos, verificable mediante la desconexión de red del navegador.</w:t>
      </w:r>
    </w:p>
    <w:p>
      <w:pPr>
        <w:tabs>
          <w:tab w:val="left" w:pos="1080"/>
        </w:tabs>
        <w:spacing w:after="0" w:line="480"/>
        <w:ind w:left="1080" w:hanging="360"/>
        <w:jc w:val="both"/>
      </w:pP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Alcanzar una precisión igual o superior al 80 % en la corrección de un conjunto de 50 frases con errores gramaticales típicos de hispanohablantes.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Objetivos de aprendizaje</w:t>
      </w:r>
    </w:p>
    <w:p>
      <w:pPr>
        <w:spacing w:after="0" w:line="480"/>
        <w:ind w:firstLine="720"/>
        <w:jc w:val="both"/>
      </w:pPr>
      <w:r>
        <w:rPr>
          <w:rFonts w:ascii="Times New Roman" w:cs="Times New Roman" w:eastAsia="Times New Roman" w:hAnsi="Times New Roman"/>
          <w:sz w:val="24"/>
          <w:szCs w:val="24"/>
        </w:rPr>
        <w:t xml:space="preserve">Demostrar la aplicación correcta de: teorema de muestreo de Nyquist–Shannon y prevención de aliasing; diseño y efecto de filtros digitales; transformada discreta de Fourier, ventaneo y transformada de tiempo corto; representación cepstral en escala mel; algoritmos de detección de periodicidad; y comparación de señales mediante alineamiento temporal no lineal.</w:t>
      </w:r>
    </w:p>
    <w:p>
      <w:pPr>
        <w:pStyle w:val="Heading1"/>
        <w:spacing w:after="0" w:before="240" w:line="480"/>
        <w:jc w:val="center"/>
      </w:pPr>
      <w:r>
        <w:rPr>
          <w:rFonts w:ascii="Times New Roman" w:cs="Times New Roman" w:eastAsia="Times New Roman" w:hAnsi="Times New Roman"/>
          <w:b/>
          <w:bCs/>
          <w:i w:val="false"/>
          <w:iCs w:val="false"/>
          <w:sz w:val="24"/>
          <w:szCs w:val="24"/>
        </w:rPr>
        <w:t xml:space="preserve">Marco teórico</w:t>
      </w:r>
    </w:p>
    <w:p>
      <w:pPr>
        <w:spacing w:after="0" w:line="480"/>
        <w:ind w:firstLine="720"/>
        <w:jc w:val="both"/>
      </w:pPr>
      <w:r>
        <w:rPr>
          <w:rFonts w:ascii="Times New Roman" w:cs="Times New Roman" w:eastAsia="Times New Roman" w:hAnsi="Times New Roman"/>
          <w:sz w:val="24"/>
          <w:szCs w:val="24"/>
        </w:rPr>
        <w:t xml:space="preserve">El desarrollo completo del marco teórico, con ecuaciones y hallazgos medidos, se encuentra en </w:t>
      </w:r>
      <w:r>
        <w:rPr>
          <w:rFonts w:ascii="Courier New" w:cs="Courier New" w:eastAsia="Courier New" w:hAnsi="Courier New"/>
          <w:sz w:val="22"/>
          <w:szCs w:val="22"/>
        </w:rPr>
        <w:t xml:space="preserve">docs/09-marco-teorico.md</w:t>
      </w:r>
      <w:r>
        <w:rPr>
          <w:rFonts w:ascii="Times New Roman" w:cs="Times New Roman" w:eastAsia="Times New Roman" w:hAnsi="Times New Roman"/>
          <w:sz w:val="24"/>
          <w:szCs w:val="24"/>
        </w:rPr>
        <w:t xml:space="preserve"> del repositorio. Esta sección resume los fundamentos aplicados hasta el Avance 1.</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Muestreo y teorema de Nyquist</w:t>
      </w:r>
    </w:p>
    <w:p>
      <w:pPr>
        <w:spacing w:after="0" w:line="480"/>
        <w:ind w:firstLine="720"/>
        <w:jc w:val="both"/>
      </w:pPr>
      <w:r>
        <w:rPr>
          <w:rFonts w:ascii="Times New Roman" w:cs="Times New Roman" w:eastAsia="Times New Roman" w:hAnsi="Times New Roman"/>
          <w:sz w:val="24"/>
          <w:szCs w:val="24"/>
        </w:rPr>
        <w:t xml:space="preserve">Una señal continua </w:t>
      </w:r>
      <w:r>
        <w:rPr>
          <w:rFonts w:ascii="Times New Roman" w:cs="Times New Roman" w:eastAsia="Times New Roman" w:hAnsi="Times New Roman"/>
          <w:i/>
          <w:iCs/>
          <w:sz w:val="24"/>
          <w:szCs w:val="24"/>
        </w:rPr>
        <w:t xml:space="preserve">x(t)</w:t>
      </w:r>
      <w:r>
        <w:rPr>
          <w:rFonts w:ascii="Times New Roman" w:cs="Times New Roman" w:eastAsia="Times New Roman" w:hAnsi="Times New Roman"/>
          <w:sz w:val="24"/>
          <w:szCs w:val="24"/>
        </w:rPr>
        <w:t xml:space="preserve"> se convierte en la secuencia discreta </w:t>
      </w:r>
      <w:r>
        <w:rPr>
          <w:rFonts w:ascii="Times New Roman" w:cs="Times New Roman" w:eastAsia="Times New Roman" w:hAnsi="Times New Roman"/>
          <w:i/>
          <w:iCs/>
          <w:sz w:val="24"/>
          <w:szCs w:val="24"/>
        </w:rPr>
        <w:t xml:space="preserve">x[n] = x(nTₛ)</w:t>
      </w:r>
      <w:r>
        <w:rPr>
          <w:rFonts w:ascii="Times New Roman" w:cs="Times New Roman" w:eastAsia="Times New Roman" w:hAnsi="Times New Roman"/>
          <w:sz w:val="24"/>
          <w:szCs w:val="24"/>
        </w:rPr>
        <w:t xml:space="preserve">, con frecuencia de muestreo </w:t>
      </w:r>
      <w:r>
        <w:rPr>
          <w:rFonts w:ascii="Times New Roman" w:cs="Times New Roman" w:eastAsia="Times New Roman" w:hAnsi="Times New Roman"/>
          <w:i/>
          <w:iCs/>
          <w:sz w:val="24"/>
          <w:szCs w:val="24"/>
        </w:rPr>
        <w:t xml:space="preserve">fₛ = 1/Tₛ</w:t>
      </w:r>
      <w:r>
        <w:rPr>
          <w:rFonts w:ascii="Times New Roman" w:cs="Times New Roman" w:eastAsia="Times New Roman" w:hAnsi="Times New Roman"/>
          <w:sz w:val="24"/>
          <w:szCs w:val="24"/>
        </w:rPr>
        <w:t xml:space="preserve">. El teorema de muestreo establece que la reconstrucción sin pérdida requiere</w:t>
      </w:r>
    </w:p>
    <w:p>
      <w:pPr>
        <w:spacing w:after="120" w:before="120" w:line="480"/>
        <w:jc w:val="center"/>
      </w:pPr>
      <w:r>
        <w:rPr>
          <w:rFonts w:ascii="Times New Roman" w:cs="Times New Roman" w:eastAsia="Times New Roman" w:hAnsi="Times New Roman"/>
          <w:i/>
          <w:iCs/>
          <w:sz w:val="24"/>
          <w:szCs w:val="24"/>
        </w:rPr>
        <w:t xml:space="preserve">fₛ &gt; 2 fₘₐₓ</w:t>
      </w:r>
    </w:p>
    <w:p>
      <w:pPr>
        <w:spacing w:after="0" w:line="480"/>
        <w:ind w:firstLine="720"/>
        <w:jc w:val="both"/>
      </w:pPr>
      <w:r>
        <w:rPr>
          <w:rFonts w:ascii="Times New Roman" w:cs="Times New Roman" w:eastAsia="Times New Roman" w:hAnsi="Times New Roman"/>
          <w:sz w:val="24"/>
          <w:szCs w:val="24"/>
        </w:rPr>
        <w:t xml:space="preserve">siendo la frecuencia de Nyquist </w:t>
      </w:r>
      <w:r>
        <w:rPr>
          <w:rFonts w:ascii="Times New Roman" w:cs="Times New Roman" w:eastAsia="Times New Roman" w:hAnsi="Times New Roman"/>
          <w:i/>
          <w:iCs/>
          <w:sz w:val="24"/>
          <w:szCs w:val="24"/>
        </w:rPr>
        <w:t xml:space="preserve">fₙ = fₛ/2</w:t>
      </w:r>
      <w:r>
        <w:rPr>
          <w:rFonts w:ascii="Times New Roman" w:cs="Times New Roman" w:eastAsia="Times New Roman" w:hAnsi="Times New Roman"/>
          <w:sz w:val="24"/>
          <w:szCs w:val="24"/>
        </w:rPr>
        <w:t xml:space="preserve">. A 16 kHz, </w:t>
      </w:r>
      <w:r>
        <w:rPr>
          <w:rFonts w:ascii="Times New Roman" w:cs="Times New Roman" w:eastAsia="Times New Roman" w:hAnsi="Times New Roman"/>
          <w:i/>
          <w:iCs/>
          <w:sz w:val="24"/>
          <w:szCs w:val="24"/>
        </w:rPr>
        <w:t xml:space="preserve">fₙ = 8 000</w:t>
      </w:r>
      <w:r>
        <w:rPr>
          <w:rFonts w:ascii="Times New Roman" w:cs="Times New Roman" w:eastAsia="Times New Roman" w:hAnsi="Times New Roman"/>
          <w:sz w:val="24"/>
          <w:szCs w:val="24"/>
        </w:rPr>
        <w:t xml:space="preserve"> Hz, techo suficiente para la voz: la frecuencia fundamental humana se sitúa entre 85 y 255 Hz y los formantes relevantes para distinguir fonemas se concentran por debajo de 4 kHz.</w:t>
      </w:r>
    </w:p>
    <w:p>
      <w:pPr>
        <w:spacing w:after="0" w:line="480"/>
        <w:ind w:firstLine="720"/>
        <w:jc w:val="both"/>
      </w:pPr>
      <w:r>
        <w:rPr>
          <w:rFonts w:ascii="Times New Roman" w:cs="Times New Roman" w:eastAsia="Times New Roman" w:hAnsi="Times New Roman"/>
          <w:b/>
          <w:bCs/>
          <w:sz w:val="24"/>
          <w:szCs w:val="24"/>
        </w:rPr>
        <w:t xml:space="preserve">Hallazgo medido (spike S1-T6).</w:t>
      </w:r>
      <w:r>
        <w:rPr>
          <w:rFonts w:ascii="Times New Roman" w:cs="Times New Roman" w:eastAsia="Times New Roman" w:hAnsi="Times New Roman"/>
          <w:sz w:val="24"/>
          <w:szCs w:val="24"/>
        </w:rPr>
        <w:t xml:space="preserve"> El micrófono del equipo entrega exclusivamente 48 000 Hz —</w:t>
      </w:r>
      <w:r>
        <w:rPr>
          <w:rFonts w:ascii="Courier New" w:cs="Courier New" w:eastAsia="Courier New" w:hAnsi="Courier New"/>
          <w:sz w:val="22"/>
          <w:szCs w:val="22"/>
        </w:rPr>
        <w:t xml:space="preserve">getCapabilities()</w:t>
      </w:r>
      <w:r>
        <w:rPr>
          <w:rFonts w:ascii="Times New Roman" w:cs="Times New Roman" w:eastAsia="Times New Roman" w:hAnsi="Times New Roman"/>
          <w:sz w:val="24"/>
          <w:szCs w:val="24"/>
        </w:rPr>
        <w:t xml:space="preserve"> devuelve un rango degenerado 48 000–48 000, es decir un valor único, no negociable—. Como 48 000 / 16 000 = 3 es entero, corresponde una </w:t>
      </w:r>
      <w:r>
        <w:rPr>
          <w:rFonts w:ascii="Times New Roman" w:cs="Times New Roman" w:eastAsia="Times New Roman" w:hAnsi="Times New Roman"/>
          <w:b/>
          <w:bCs/>
          <w:sz w:val="24"/>
          <w:szCs w:val="24"/>
        </w:rPr>
        <w:t xml:space="preserve">decimación exacta</w:t>
      </w:r>
      <w:r>
        <w:rPr>
          <w:rFonts w:ascii="Times New Roman" w:cs="Times New Roman" w:eastAsia="Times New Roman" w:hAnsi="Times New Roman"/>
          <w:sz w:val="24"/>
          <w:szCs w:val="24"/>
        </w:rPr>
        <w:t xml:space="preserve">: filtrar pasa-bajos con corte en 7 200 Hz (90 % del Nyquist destino, con margen para la caída no ideal del filtro) y conservar una de cada tres muestras. Omitir ese filtro plegaría todo el contenido entre 8 y 24 kHz sobre la banda útil (aliasing), corrompiendo las mediciones posteriores.</w:t>
      </w:r>
    </w:p>
    <w:p>
      <w:pPr>
        <w:spacing w:after="0" w:line="480"/>
        <w:ind w:firstLine="720"/>
        <w:jc w:val="both"/>
      </w:pPr>
      <w:r>
        <w:rPr>
          <w:rFonts w:ascii="Times New Roman" w:cs="Times New Roman" w:eastAsia="Times New Roman" w:hAnsi="Times New Roman"/>
          <w:b/>
          <w:bCs/>
          <w:sz w:val="24"/>
          <w:szCs w:val="24"/>
        </w:rPr>
        <w:t xml:space="preserve">Filtro anti-aliasing implementado (S2-T1).</w:t>
      </w:r>
      <w:r>
        <w:rPr>
          <w:rFonts w:ascii="Times New Roman" w:cs="Times New Roman" w:eastAsia="Times New Roman" w:hAnsi="Times New Roman"/>
          <w:sz w:val="24"/>
          <w:szCs w:val="24"/>
        </w:rPr>
        <w:t xml:space="preserve"> La respuesta ideal de un pasa-bajos es una función sinc de duración infinita. El filtro se obtiene truncándola a 127 coeficientes y multiplicándola por una ventana de Hann: el truncamiento abrupto —equivalente a una ventana rectangular— produciría el fenómeno de Gibbs, con rizado en la banda de paso y fugas en la de rechazo. Se adoptó un número impar de coeficientes para que el filtro resulte de fase lineal con retardo de grupo entero, condición necesaria porque la señal resultante alimenta al comparador acústico, donde una distorsión de fase desalinearía la forma de onda. Los coeficientes se normalizan a ganancia unitaria en continua, de modo que el filtrado no altere el nivel de la señal.</w:t>
      </w:r>
    </w:p>
    <w:p>
      <w:pPr>
        <w:spacing w:after="0" w:line="480"/>
        <w:ind w:firstLine="720"/>
        <w:jc w:val="both"/>
      </w:pPr>
      <w:r>
        <w:rPr>
          <w:rFonts w:ascii="Times New Roman" w:cs="Times New Roman" w:eastAsia="Times New Roman" w:hAnsi="Times New Roman"/>
          <w:sz w:val="24"/>
          <w:szCs w:val="24"/>
        </w:rPr>
        <w:t xml:space="preserve">Respuesta en frecuencia medida:</w:t>
      </w:r>
    </w:p>
    <w:p>
      <w:pPr>
        <w:keepNext/>
        <w:spacing w:after="0" w:before="200" w:line="480"/>
      </w:pPr>
      <w:r>
        <w:rPr>
          <w:rFonts w:ascii="Times New Roman" w:cs="Times New Roman" w:eastAsia="Times New Roman" w:hAnsi="Times New Roman"/>
          <w:b/>
          <w:bCs/>
          <w:sz w:val="24"/>
          <w:szCs w:val="24"/>
        </w:rPr>
        <w:t xml:space="preserve">Tabla 2</w:t>
      </w:r>
    </w:p>
    <w:p>
      <w:pPr>
        <w:keepNext/>
        <w:spacing w:after="80" w:line="480"/>
      </w:pPr>
      <w:r>
        <w:rPr>
          <w:rFonts w:ascii="Times New Roman" w:cs="Times New Roman" w:eastAsia="Times New Roman" w:hAnsi="Times New Roman"/>
          <w:i/>
          <w:iCs/>
          <w:sz w:val="24"/>
          <w:szCs w:val="24"/>
        </w:rPr>
        <w:t xml:space="preserve">Respuesta en frecuencia medida del filtro FIR anti-aliasing</w:t>
      </w:r>
    </w:p>
    <w:tbl>
      <w:tblPr>
        <w:tblW w:type="dxa" w:w="9360"/>
        <w:tblBorders>
          <w:top w:val="single" w:color="000000" w:sz="6"/>
          <w:left w:val="none"/>
          <w:bottom w:val="single" w:color="000000" w:sz="6"/>
          <w:right w:val="none"/>
          <w:insideH w:val="none"/>
          <w:insideV w:val="none"/>
        </w:tblBorders>
      </w:tblPr>
      <w:tblGrid>
        <w:gridCol w:w="2092"/>
        <w:gridCol w:w="1793"/>
        <w:gridCol w:w="2012"/>
        <w:gridCol w:w="3463"/>
      </w:tblGrid>
      <w:tr>
        <w:trPr>
          <w:tblHeader/>
        </w:trPr>
        <w:tc>
          <w:tcPr>
            <w:tcW w:type="dxa" w:w="2092"/>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Frecuencia</w:t>
            </w:r>
          </w:p>
        </w:tc>
        <w:tc>
          <w:tcPr>
            <w:tcW w:type="dxa" w:w="1793"/>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Ganancia</w:t>
            </w:r>
          </w:p>
        </w:tc>
        <w:tc>
          <w:tcPr>
            <w:tcW w:type="dxa" w:w="2012"/>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Atenuación</w:t>
            </w:r>
          </w:p>
        </w:tc>
        <w:tc>
          <w:tcPr>
            <w:tcW w:type="dxa" w:w="3463"/>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Zona</w:t>
            </w:r>
          </w:p>
        </w:tc>
      </w:tr>
      <w:tr>
        <w:trPr>
          <w:tblHeader w:val="false"/>
        </w:trPr>
        <w:tc>
          <w:tcPr>
            <w:tcW w:type="dxa" w:w="20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300 Hz</w:t>
            </w:r>
          </w:p>
        </w:tc>
        <w:tc>
          <w:tcPr>
            <w:tcW w:type="dxa" w:w="1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1.00003</w:t>
            </w:r>
          </w:p>
        </w:tc>
        <w:tc>
          <w:tcPr>
            <w:tcW w:type="dxa" w:w="201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 dB</w:t>
            </w:r>
          </w:p>
        </w:tc>
        <w:tc>
          <w:tcPr>
            <w:tcW w:type="dxa" w:w="346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Banda de paso (fundamental)</w:t>
            </w:r>
          </w:p>
        </w:tc>
      </w:tr>
      <w:tr>
        <w:trPr>
          <w:tblHeader w:val="false"/>
        </w:trPr>
        <w:tc>
          <w:tcPr>
            <w:tcW w:type="dxa" w:w="20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3 400 Hz</w:t>
            </w:r>
          </w:p>
        </w:tc>
        <w:tc>
          <w:tcPr>
            <w:tcW w:type="dxa" w:w="1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1.00006</w:t>
            </w:r>
          </w:p>
        </w:tc>
        <w:tc>
          <w:tcPr>
            <w:tcW w:type="dxa" w:w="201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 dB</w:t>
            </w:r>
          </w:p>
        </w:tc>
        <w:tc>
          <w:tcPr>
            <w:tcW w:type="dxa" w:w="346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Banda de paso (formantes)</w:t>
            </w:r>
          </w:p>
        </w:tc>
      </w:tr>
      <w:tr>
        <w:trPr>
          <w:tblHeader w:val="false"/>
        </w:trPr>
        <w:tc>
          <w:tcPr>
            <w:tcW w:type="dxa" w:w="20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6 000 Hz</w:t>
            </w:r>
          </w:p>
        </w:tc>
        <w:tc>
          <w:tcPr>
            <w:tcW w:type="dxa" w:w="1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0.99833</w:t>
            </w:r>
          </w:p>
        </w:tc>
        <w:tc>
          <w:tcPr>
            <w:tcW w:type="dxa" w:w="201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 dB</w:t>
            </w:r>
          </w:p>
        </w:tc>
        <w:tc>
          <w:tcPr>
            <w:tcW w:type="dxa" w:w="346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Banda de paso</w:t>
            </w:r>
          </w:p>
        </w:tc>
      </w:tr>
      <w:tr>
        <w:trPr>
          <w:tblHeader w:val="false"/>
        </w:trPr>
        <w:tc>
          <w:tcPr>
            <w:tcW w:type="dxa" w:w="20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7 200 Hz</w:t>
            </w:r>
          </w:p>
        </w:tc>
        <w:tc>
          <w:tcPr>
            <w:tcW w:type="dxa" w:w="1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0.50003</w:t>
            </w:r>
          </w:p>
        </w:tc>
        <w:tc>
          <w:tcPr>
            <w:tcW w:type="dxa" w:w="201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−6.0 dB</w:t>
            </w:r>
          </w:p>
        </w:tc>
        <w:tc>
          <w:tcPr>
            <w:tcW w:type="dxa" w:w="346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Frecuencia de corte</w:t>
            </w:r>
          </w:p>
        </w:tc>
      </w:tr>
      <w:tr>
        <w:trPr>
          <w:tblHeader w:val="false"/>
        </w:trPr>
        <w:tc>
          <w:tcPr>
            <w:tcW w:type="dxa" w:w="2092"/>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8 000 Hz</w:t>
            </w:r>
          </w:p>
        </w:tc>
        <w:tc>
          <w:tcPr>
            <w:tcW w:type="dxa" w:w="1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0.00589</w:t>
            </w:r>
          </w:p>
        </w:tc>
        <w:tc>
          <w:tcPr>
            <w:tcW w:type="dxa" w:w="2012"/>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−44.6 dB</w:t>
            </w:r>
          </w:p>
        </w:tc>
        <w:tc>
          <w:tcPr>
            <w:tcW w:type="dxa" w:w="346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Nyquist destino</w:t>
            </w:r>
          </w:p>
        </w:tc>
      </w:tr>
      <w:tr>
        <w:trPr>
          <w:tblHeader w:val="false"/>
        </w:trPr>
        <w:tc>
          <w:tcPr>
            <w:tcW w:type="dxa" w:w="20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9 000 Hz</w:t>
            </w:r>
          </w:p>
        </w:tc>
        <w:tc>
          <w:tcPr>
            <w:tcW w:type="dxa" w:w="1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0.00027</w:t>
            </w:r>
          </w:p>
        </w:tc>
        <w:tc>
          <w:tcPr>
            <w:tcW w:type="dxa" w:w="201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−71.4 dB</w:t>
            </w:r>
          </w:p>
        </w:tc>
        <w:tc>
          <w:tcPr>
            <w:tcW w:type="dxa" w:w="346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Banda de rechazo</w:t>
            </w:r>
          </w:p>
        </w:tc>
      </w:tr>
      <w:tr>
        <w:trPr>
          <w:tblHeader w:val="false"/>
        </w:trPr>
        <w:tc>
          <w:tcPr>
            <w:tcW w:type="dxa" w:w="20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12 000 Hz</w:t>
            </w:r>
          </w:p>
        </w:tc>
        <w:tc>
          <w:tcPr>
            <w:tcW w:type="dxa" w:w="17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0.00002</w:t>
            </w:r>
          </w:p>
        </w:tc>
        <w:tc>
          <w:tcPr>
            <w:tcW w:type="dxa" w:w="201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−95.4 dB</w:t>
            </w:r>
          </w:p>
        </w:tc>
        <w:tc>
          <w:tcPr>
            <w:tcW w:type="dxa" w:w="346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Banda de rechazo</w:t>
            </w:r>
          </w:p>
        </w:tc>
      </w:tr>
    </w:tbl>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La banda de paso resulta plana hasta 6 kHz, con error inferior al 0.2 %, y la atenuación en el Nyquist destino alcanza 44.6 dB.</w:t>
      </w:r>
    </w:p>
    <w:p>
      <w:pPr>
        <w:spacing w:after="0" w:line="480"/>
        <w:ind w:firstLine="720"/>
        <w:jc w:val="both"/>
      </w:pPr>
      <w:r>
        <w:rPr>
          <w:rFonts w:ascii="Times New Roman" w:cs="Times New Roman" w:eastAsia="Times New Roman" w:hAnsi="Times New Roman"/>
          <w:b/>
          <w:bCs/>
          <w:sz w:val="24"/>
          <w:szCs w:val="24"/>
        </w:rPr>
        <w:t xml:space="preserve">Verificación experimental del plegamiento.</w:t>
      </w:r>
      <w:r>
        <w:rPr>
          <w:rFonts w:ascii="Times New Roman" w:cs="Times New Roman" w:eastAsia="Times New Roman" w:hAnsi="Times New Roman"/>
          <w:sz w:val="24"/>
          <w:szCs w:val="24"/>
        </w:rPr>
        <w:t xml:space="preserve"> Un tono de 9 000 Hz muestreado a 48 kHz excede el Nyquist destino y, al decimar, se pliega sobre</w:t>
      </w:r>
    </w:p>
    <w:p>
      <w:pPr>
        <w:spacing w:after="120" w:before="120" w:line="480"/>
        <w:jc w:val="center"/>
      </w:pPr>
      <w:r>
        <w:rPr>
          <w:rFonts w:ascii="Times New Roman" w:cs="Times New Roman" w:eastAsia="Times New Roman" w:hAnsi="Times New Roman"/>
          <w:i/>
          <w:iCs/>
          <w:sz w:val="24"/>
          <w:szCs w:val="24"/>
        </w:rPr>
        <w:t xml:space="preserve">fₐliₐₛ = | ((9 000 + 8 000) mod 16 000) - 8 000 | = 7 000 Hz</w:t>
      </w:r>
    </w:p>
    <w:p>
      <w:pPr>
        <w:spacing w:after="0" w:line="480"/>
        <w:ind w:firstLine="720"/>
        <w:jc w:val="both"/>
      </w:pPr>
      <w:r>
        <w:rPr>
          <w:rFonts w:ascii="Times New Roman" w:cs="Times New Roman" w:eastAsia="Times New Roman" w:hAnsi="Times New Roman"/>
          <w:sz w:val="24"/>
          <w:szCs w:val="24"/>
        </w:rPr>
        <w:t xml:space="preserve">es decir, aparece como una fricativa de 7 kHz que nunca fue pronunciada. La medición de esa componente en la salida contrasta ambos procedimientos:</w:t>
      </w:r>
    </w:p>
    <w:p>
      <w:pPr>
        <w:keepNext/>
        <w:spacing w:after="0" w:before="200" w:line="480"/>
      </w:pPr>
      <w:r>
        <w:rPr>
          <w:rFonts w:ascii="Times New Roman" w:cs="Times New Roman" w:eastAsia="Times New Roman" w:hAnsi="Times New Roman"/>
          <w:b/>
          <w:bCs/>
          <w:sz w:val="24"/>
          <w:szCs w:val="24"/>
        </w:rPr>
        <w:t xml:space="preserve">Tabla 3</w:t>
      </w:r>
    </w:p>
    <w:p>
      <w:pPr>
        <w:keepNext/>
        <w:spacing w:after="80" w:line="480"/>
      </w:pPr>
      <w:r>
        <w:rPr>
          <w:rFonts w:ascii="Times New Roman" w:cs="Times New Roman" w:eastAsia="Times New Roman" w:hAnsi="Times New Roman"/>
          <w:i/>
          <w:iCs/>
          <w:sz w:val="24"/>
          <w:szCs w:val="24"/>
        </w:rPr>
        <w:t xml:space="preserve">Verificación experimental de la atenuación de alias en la decimación</w:t>
      </w:r>
    </w:p>
    <w:tbl>
      <w:tblPr>
        <w:tblW w:type="dxa" w:w="9360"/>
        <w:tblBorders>
          <w:top w:val="single" w:color="000000" w:sz="6"/>
          <w:left w:val="none"/>
          <w:bottom w:val="single" w:color="000000" w:sz="6"/>
          <w:right w:val="none"/>
          <w:insideH w:val="none"/>
          <w:insideV w:val="none"/>
        </w:tblBorders>
      </w:tblPr>
      <w:tblGrid>
        <w:gridCol w:w="5169"/>
        <w:gridCol w:w="2545"/>
        <w:gridCol w:w="1646"/>
      </w:tblGrid>
      <w:tr>
        <w:trPr>
          <w:tblHeader/>
        </w:trPr>
        <w:tc>
          <w:tcPr>
            <w:tcW w:type="dxa" w:w="5169"/>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Procedimiento</w:t>
            </w:r>
          </w:p>
        </w:tc>
        <w:tc>
          <w:tcPr>
            <w:tcW w:type="dxa" w:w="2545"/>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Amplitud en 7 kHz</w:t>
            </w:r>
          </w:p>
        </w:tc>
        <w:tc>
          <w:tcPr>
            <w:tcW w:type="dxa" w:w="1646"/>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Nivel</w:t>
            </w:r>
          </w:p>
        </w:tc>
      </w:tr>
      <w:tr>
        <w:trPr>
          <w:tblHeader w:val="false"/>
        </w:trPr>
        <w:tc>
          <w:tcPr>
            <w:tcW w:type="dxa" w:w="516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Decimación directa, sin filtrar</w:t>
            </w:r>
          </w:p>
        </w:tc>
        <w:tc>
          <w:tcPr>
            <w:tcW w:type="dxa" w:w="254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1.00000</w:t>
            </w:r>
          </w:p>
        </w:tc>
        <w:tc>
          <w:tcPr>
            <w:tcW w:type="dxa" w:w="164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 dB</w:t>
            </w:r>
          </w:p>
        </w:tc>
      </w:tr>
      <w:tr>
        <w:trPr>
          <w:tblHeader w:val="false"/>
        </w:trPr>
        <w:tc>
          <w:tcPr>
            <w:tcW w:type="dxa" w:w="5169"/>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Filtrado previo y decimación</w:t>
            </w:r>
          </w:p>
        </w:tc>
        <w:tc>
          <w:tcPr>
            <w:tcW w:type="dxa" w:w="2545"/>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0.00021</w:t>
            </w:r>
          </w:p>
        </w:tc>
        <w:tc>
          <w:tcPr>
            <w:tcW w:type="dxa" w:w="1646"/>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−73.8 dB</w:t>
            </w:r>
          </w:p>
        </w:tc>
      </w:tr>
    </w:tbl>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La mejora es de </w:t>
      </w:r>
      <w:r>
        <w:rPr>
          <w:rFonts w:ascii="Times New Roman" w:cs="Times New Roman" w:eastAsia="Times New Roman" w:hAnsi="Times New Roman"/>
          <w:b/>
          <w:bCs/>
          <w:sz w:val="24"/>
          <w:szCs w:val="24"/>
        </w:rPr>
        <w:t xml:space="preserve">73.8 dB</w:t>
      </w:r>
      <w:r>
        <w:rPr>
          <w:rFonts w:ascii="Times New Roman" w:cs="Times New Roman" w:eastAsia="Times New Roman" w:hAnsi="Times New Roman"/>
          <w:sz w:val="24"/>
          <w:szCs w:val="24"/>
        </w:rPr>
        <w:t xml:space="preserve">. El orden de las operaciones no admite inversión: una vez plegada, la componente de 9 kHz es matemáticamente indistinguible de una de 7 kHz legítima, y ningún filtrado posterior puede separarlas.</w:t>
      </w:r>
    </w:p>
    <w:p>
      <w:pPr>
        <w:spacing w:after="0" w:line="480"/>
        <w:ind w:firstLine="720"/>
        <w:jc w:val="both"/>
      </w:pPr>
      <w:r>
        <w:rPr>
          <w:rFonts w:ascii="Times New Roman" w:cs="Times New Roman" w:eastAsia="Times New Roman" w:hAnsi="Times New Roman"/>
          <w:b/>
          <w:bCs/>
          <w:sz w:val="24"/>
          <w:szCs w:val="24"/>
        </w:rPr>
        <w:t xml:space="preserve">Compromiso asumido.</w:t>
      </w:r>
      <w:r>
        <w:rPr>
          <w:rFonts w:ascii="Times New Roman" w:cs="Times New Roman" w:eastAsia="Times New Roman" w:hAnsi="Times New Roman"/>
          <w:sz w:val="24"/>
          <w:szCs w:val="24"/>
        </w:rPr>
        <w:t xml:space="preserve"> La banda de transición del filtro ocupa de 6.5 a 8 kHz, intervalo donde se sitúan las fricativas más agudas. Es una consecuencia inevitable de trabajar con un filtro real de longitud finita: con 127 coeficientes la transición no puede ser más angosta. Se aceptó porque la energía dominante de esas fricativas se encuentra por debajo de 7 kHz. De resultar el evaluador de pronunciación sensible a esta atenuación, la variable a modificar es el número de coeficientes, no la frecuencia de corte.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Transformada discreta de Fourier</w:t>
      </w:r>
    </w:p>
    <w:p>
      <w:pPr>
        <w:spacing w:after="0" w:line="480"/>
        <w:ind w:firstLine="720"/>
        <w:jc w:val="both"/>
      </w:pPr>
      <w:r>
        <w:rPr>
          <w:rFonts w:ascii="Times New Roman" w:cs="Times New Roman" w:eastAsia="Times New Roman" w:hAnsi="Times New Roman"/>
          <w:sz w:val="24"/>
          <w:szCs w:val="24"/>
        </w:rPr>
        <w:t xml:space="preserve">El análisis espectral se apoya en la DFT:</w:t>
      </w:r>
    </w:p>
    <w:p>
      <w:pPr>
        <w:spacing w:after="120" w:before="120" w:line="480"/>
        <w:jc w:val="center"/>
      </w:pPr>
      <w:r>
        <w:rPr>
          <w:rFonts w:ascii="Times New Roman" w:cs="Times New Roman" w:eastAsia="Times New Roman" w:hAnsi="Times New Roman"/>
          <w:i/>
          <w:iCs/>
          <w:sz w:val="24"/>
          <w:szCs w:val="24"/>
        </w:rPr>
        <w:t xml:space="preserve">X[k] = Σ(n=0 … N−1) x[n] e⁻ʲ ²π ᵏ ⁿ / ᴺ</w:t>
      </w:r>
    </w:p>
    <w:p>
      <w:pPr>
        <w:spacing w:after="0" w:line="480"/>
        <w:ind w:firstLine="720"/>
        <w:jc w:val="both"/>
      </w:pPr>
      <w:r>
        <w:rPr>
          <w:rFonts w:ascii="Times New Roman" w:cs="Times New Roman" w:eastAsia="Times New Roman" w:hAnsi="Times New Roman"/>
          <w:sz w:val="24"/>
          <w:szCs w:val="24"/>
        </w:rPr>
        <w:t xml:space="preserve">calculada mediante FFT de base 2. Para señales no estacionarias como la voz se emplea la transformada de tiempo corto (STFT), que aplica la DFT sobre ventanas solapadas, previa multiplicación por una ventana de Hann para atenuar la fuga espectral introducida por el truncamiento.</w:t>
      </w:r>
    </w:p>
    <w:p>
      <w:pPr>
        <w:spacing w:after="0" w:line="480"/>
        <w:ind w:firstLine="720"/>
        <w:jc w:val="both"/>
      </w:pPr>
      <w:r>
        <w:rPr>
          <w:rFonts w:ascii="Times New Roman" w:cs="Times New Roman" w:eastAsia="Times New Roman" w:hAnsi="Times New Roman"/>
          <w:b/>
          <w:bCs/>
          <w:sz w:val="24"/>
          <w:szCs w:val="24"/>
        </w:rPr>
        <w:t xml:space="preserve">Implementación y validación (S3-T1).</w:t>
      </w:r>
      <w:r>
        <w:rPr>
          <w:rFonts w:ascii="Times New Roman" w:cs="Times New Roman" w:eastAsia="Times New Roman" w:hAnsi="Times New Roman"/>
          <w:sz w:val="24"/>
          <w:szCs w:val="24"/>
        </w:rPr>
        <w:t xml:space="preserve"> La transformada se implementó como una FFT de base 2 según el algoritmo de Cooley–Tukey, en su forma iterativa: permutación de las muestras por inversión de bits seguida de </w:t>
      </w:r>
      <w:r>
        <w:rPr>
          <w:rFonts w:ascii="Times New Roman" w:cs="Times New Roman" w:eastAsia="Times New Roman" w:hAnsi="Times New Roman"/>
          <w:i/>
          <w:iCs/>
          <w:sz w:val="24"/>
          <w:szCs w:val="24"/>
        </w:rPr>
        <w:t xml:space="preserve">log₂ N</w:t>
      </w:r>
      <w:r>
        <w:rPr>
          <w:rFonts w:ascii="Times New Roman" w:cs="Times New Roman" w:eastAsia="Times New Roman" w:hAnsi="Times New Roman"/>
          <w:sz w:val="24"/>
          <w:szCs w:val="24"/>
        </w:rPr>
        <w:t xml:space="preserve"> etapas de mariposas. Los factores de giro se precalculan en una tabla en lugar de acumularse por multiplicación sucesiva dentro del bucle, decisión que evita la deriva del error a lo largo de las etapas.</w:t>
      </w:r>
    </w:p>
    <w:p>
      <w:pPr>
        <w:spacing w:after="0" w:line="480"/>
        <w:ind w:firstLine="720"/>
        <w:jc w:val="both"/>
      </w:pPr>
      <w:r>
        <w:rPr>
          <w:rFonts w:ascii="Times New Roman" w:cs="Times New Roman" w:eastAsia="Times New Roman" w:hAnsi="Times New Roman"/>
          <w:sz w:val="24"/>
          <w:szCs w:val="24"/>
        </w:rPr>
        <w:t xml:space="preserve">La verificación se realizó </w:t>
      </w:r>
      <w:r>
        <w:rPr>
          <w:rFonts w:ascii="Times New Roman" w:cs="Times New Roman" w:eastAsia="Times New Roman" w:hAnsi="Times New Roman"/>
          <w:b/>
          <w:bCs/>
          <w:sz w:val="24"/>
          <w:szCs w:val="24"/>
        </w:rPr>
        <w:t xml:space="preserve">contra referencias analíticas y no contra bibliotecas de terceros</w:t>
      </w:r>
      <w:r>
        <w:rPr>
          <w:rFonts w:ascii="Times New Roman" w:cs="Times New Roman" w:eastAsia="Times New Roman" w:hAnsi="Times New Roman"/>
          <w:sz w:val="24"/>
          <w:szCs w:val="24"/>
        </w:rPr>
        <w:t xml:space="preserve">. El criterio metodológico adoptado es que contrastar una implementación con otra biblioteca demuestra únicamente que ambas coinciden; contrastarla con resultados deducibles de la teoría demuestra que es correcta. La primera referencia es la DFT calculada directamente a partir de su definición, implementada dentro de la propia prueba: una biblioteca puede contener errores, la definición matemática no.</w:t>
      </w:r>
    </w:p>
    <w:p>
      <w:pPr>
        <w:keepNext/>
        <w:spacing w:after="0" w:before="200" w:line="480"/>
      </w:pPr>
      <w:r>
        <w:rPr>
          <w:rFonts w:ascii="Times New Roman" w:cs="Times New Roman" w:eastAsia="Times New Roman" w:hAnsi="Times New Roman"/>
          <w:b/>
          <w:bCs/>
          <w:sz w:val="24"/>
          <w:szCs w:val="24"/>
        </w:rPr>
        <w:t xml:space="preserve">Tabla 4</w:t>
      </w:r>
    </w:p>
    <w:p>
      <w:pPr>
        <w:keepNext/>
        <w:spacing w:after="80" w:line="480"/>
      </w:pPr>
      <w:r>
        <w:rPr>
          <w:rFonts w:ascii="Times New Roman" w:cs="Times New Roman" w:eastAsia="Times New Roman" w:hAnsi="Times New Roman"/>
          <w:i/>
          <w:iCs/>
          <w:sz w:val="24"/>
          <w:szCs w:val="24"/>
        </w:rPr>
        <w:t xml:space="preserve">Error de la FFT propia frente a la definición directa de la DFT</w:t>
      </w:r>
    </w:p>
    <w:tbl>
      <w:tblPr>
        <w:tblW w:type="dxa" w:w="9360"/>
        <w:tblBorders>
          <w:top w:val="single" w:color="000000" w:sz="6"/>
          <w:left w:val="none"/>
          <w:bottom w:val="single" w:color="000000" w:sz="6"/>
          <w:right w:val="none"/>
          <w:insideH w:val="none"/>
          <w:insideV w:val="none"/>
        </w:tblBorders>
      </w:tblPr>
      <w:tblGrid>
        <w:gridCol w:w="2593"/>
        <w:gridCol w:w="3518"/>
        <w:gridCol w:w="3249"/>
      </w:tblGrid>
      <w:tr>
        <w:trPr>
          <w:tblHeader/>
        </w:trPr>
        <w:tc>
          <w:tcPr>
            <w:tcW w:type="dxa" w:w="2593"/>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N</w:t>
            </w:r>
          </w:p>
        </w:tc>
        <w:tc>
          <w:tcPr>
            <w:tcW w:type="dxa" w:w="3518"/>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Error absoluto máximo</w:t>
            </w:r>
          </w:p>
        </w:tc>
        <w:tc>
          <w:tcPr>
            <w:tcW w:type="dxa" w:w="3249"/>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Error relativo</w:t>
            </w:r>
          </w:p>
        </w:tc>
      </w:tr>
      <w:tr>
        <w:trPr>
          <w:tblHeader w:val="false"/>
        </w:trPr>
        <w:tc>
          <w:tcPr>
            <w:tcW w:type="dxa" w:w="25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128</w:t>
            </w:r>
          </w:p>
        </w:tc>
        <w:tc>
          <w:tcPr>
            <w:tcW w:type="dxa" w:w="351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4.63 × 10⁻¹³</w:t>
            </w:r>
          </w:p>
        </w:tc>
        <w:tc>
          <w:tcPr>
            <w:tcW w:type="dxa" w:w="32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2.61 × 10⁻¹⁴</w:t>
            </w:r>
          </w:p>
        </w:tc>
      </w:tr>
      <w:tr>
        <w:trPr>
          <w:tblHeader w:val="false"/>
        </w:trPr>
        <w:tc>
          <w:tcPr>
            <w:tcW w:type="dxa" w:w="2593"/>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512</w:t>
            </w:r>
            <w:r>
              <w:rPr>
                <w:rFonts w:ascii="Times New Roman" w:cs="Times New Roman" w:eastAsia="Times New Roman" w:hAnsi="Times New Roman"/>
                <w:b w:val="false"/>
                <w:bCs w:val="false"/>
                <w:sz w:val="20"/>
                <w:szCs w:val="20"/>
              </w:rPr>
              <w:t xml:space="preserve"> (tamaño de producción)</w:t>
            </w:r>
          </w:p>
        </w:tc>
        <w:tc>
          <w:tcPr>
            <w:tcW w:type="dxa" w:w="3518"/>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4.90 × 10⁻¹²</w:t>
            </w:r>
          </w:p>
        </w:tc>
        <w:tc>
          <w:tcPr>
            <w:tcW w:type="dxa" w:w="3249"/>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1.45 × 10⁻¹³</w:t>
            </w:r>
          </w:p>
        </w:tc>
      </w:tr>
      <w:tr>
        <w:trPr>
          <w:tblHeader w:val="false"/>
        </w:trPr>
        <w:tc>
          <w:tcPr>
            <w:tcW w:type="dxa" w:w="25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1024</w:t>
            </w:r>
          </w:p>
        </w:tc>
        <w:tc>
          <w:tcPr>
            <w:tcW w:type="dxa" w:w="351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1.59 × 10⁻¹¹</w:t>
            </w:r>
          </w:p>
        </w:tc>
        <w:tc>
          <w:tcPr>
            <w:tcW w:type="dxa" w:w="32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3.26 × 10⁻¹³</w:t>
            </w:r>
          </w:p>
        </w:tc>
      </w:tr>
      <w:tr>
        <w:trPr>
          <w:tblHeader w:val="false"/>
        </w:trPr>
        <w:tc>
          <w:tcPr>
            <w:tcW w:type="dxa" w:w="259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2048</w:t>
            </w:r>
          </w:p>
        </w:tc>
        <w:tc>
          <w:tcPr>
            <w:tcW w:type="dxa" w:w="351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5.66 × 10⁻¹¹</w:t>
            </w:r>
          </w:p>
        </w:tc>
        <w:tc>
          <w:tcPr>
            <w:tcW w:type="dxa" w:w="32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7.00 × 10⁻¹³</w:t>
            </w:r>
          </w:p>
        </w:tc>
      </w:tr>
    </w:tbl>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El error corresponde exclusivamente al redondeo de punto flotante —la precisión de un valor de doble precisión es del orden de 2 × 10⁻¹⁶— y crece con lentitud al aumentar N. Se verificaron adicionalmente las propiedades que caracterizan a la transformada con independencia de la implementación: linealidad, conservación de la energía (teorema de Parseval), reversibilidad mediante la transformada inversa y simetría conjugada de las señales reales.</w:t>
      </w:r>
    </w:p>
    <w:p>
      <w:pPr>
        <w:spacing w:after="0" w:line="480"/>
        <w:ind w:firstLine="720"/>
        <w:jc w:val="both"/>
      </w:pPr>
      <w:r>
        <w:rPr>
          <w:rFonts w:ascii="Times New Roman" w:cs="Times New Roman" w:eastAsia="Times New Roman" w:hAnsi="Times New Roman"/>
          <w:b/>
          <w:bCs/>
          <w:sz w:val="24"/>
          <w:szCs w:val="24"/>
        </w:rPr>
        <w:t xml:space="preserve">Señales con solución analítica cerrada.</w:t>
      </w:r>
      <w:r>
        <w:rPr>
          <w:rFonts w:ascii="Times New Roman" w:cs="Times New Roman" w:eastAsia="Times New Roman" w:hAnsi="Times New Roman"/>
          <w:sz w:val="24"/>
          <w:szCs w:val="24"/>
        </w:rPr>
        <w:t xml:space="preserve"> El tercer nivel de verificación emplea entradas cuya transformada se deduce en papel, de modo que el resultado esperado no proviene de ninguna implementación:</w:t>
      </w:r>
    </w:p>
    <w:p>
      <w:pPr>
        <w:keepNext/>
        <w:spacing w:after="0" w:before="200" w:line="480"/>
      </w:pPr>
      <w:r>
        <w:rPr>
          <w:rFonts w:ascii="Times New Roman" w:cs="Times New Roman" w:eastAsia="Times New Roman" w:hAnsi="Times New Roman"/>
          <w:b/>
          <w:bCs/>
          <w:sz w:val="24"/>
          <w:szCs w:val="24"/>
        </w:rPr>
        <w:t xml:space="preserve">Tabla 5</w:t>
      </w:r>
    </w:p>
    <w:p>
      <w:pPr>
        <w:keepNext/>
        <w:spacing w:after="80" w:line="480"/>
      </w:pPr>
      <w:r>
        <w:rPr>
          <w:rFonts w:ascii="Times New Roman" w:cs="Times New Roman" w:eastAsia="Times New Roman" w:hAnsi="Times New Roman"/>
          <w:i/>
          <w:iCs/>
          <w:sz w:val="24"/>
          <w:szCs w:val="24"/>
        </w:rPr>
        <w:t xml:space="preserve">Casos analíticos empleados en la verificación de la FFT</w:t>
      </w:r>
    </w:p>
    <w:tbl>
      <w:tblPr>
        <w:tblW w:type="dxa" w:w="9360"/>
        <w:tblBorders>
          <w:top w:val="single" w:color="000000" w:sz="6"/>
          <w:left w:val="none"/>
          <w:bottom w:val="single" w:color="000000" w:sz="6"/>
          <w:right w:val="none"/>
          <w:insideH w:val="none"/>
          <w:insideV w:val="none"/>
        </w:tblBorders>
      </w:tblPr>
      <w:tblGrid>
        <w:gridCol w:w="2847"/>
        <w:gridCol w:w="4032"/>
        <w:gridCol w:w="2481"/>
      </w:tblGrid>
      <w:tr>
        <w:trPr>
          <w:tblHeader/>
        </w:trPr>
        <w:tc>
          <w:tcPr>
            <w:tcW w:type="dxa" w:w="2847"/>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Señal</w:t>
            </w:r>
          </w:p>
        </w:tc>
        <w:tc>
          <w:tcPr>
            <w:tcW w:type="dxa" w:w="4032"/>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Resultado teórico</w:t>
            </w:r>
          </w:p>
        </w:tc>
        <w:tc>
          <w:tcPr>
            <w:tcW w:type="dxa" w:w="2481"/>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Verificación</w:t>
            </w:r>
          </w:p>
        </w:tc>
      </w:tr>
      <w:tr>
        <w:trPr>
          <w:tblHeader w:val="false"/>
        </w:trPr>
        <w:tc>
          <w:tcPr>
            <w:tcW w:type="dxa" w:w="284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iCs/>
                <w:sz w:val="20"/>
                <w:szCs w:val="20"/>
              </w:rPr>
              <w:t xml:space="preserve">sen(2π k₀ n/N)</w:t>
            </w:r>
            <w:r>
              <w:rPr>
                <w:rFonts w:ascii="Times New Roman" w:cs="Times New Roman" w:eastAsia="Times New Roman" w:hAnsi="Times New Roman"/>
                <w:b w:val="false"/>
                <w:bCs w:val="false"/>
                <w:sz w:val="20"/>
                <w:szCs w:val="20"/>
              </w:rPr>
              <w:t xml:space="preserve"> centrada en bin</w:t>
            </w:r>
          </w:p>
        </w:tc>
        <w:tc>
          <w:tcPr>
            <w:tcW w:type="dxa" w:w="403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w:t>
            </w:r>
          </w:p>
        </w:tc>
        <w:tc>
          <w:tcPr>
            <w:tcW w:type="dxa" w:w="248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X[k_0]\</w:t>
            </w:r>
          </w:p>
        </w:tc>
      </w:tr>
      <w:tr>
        <w:trPr>
          <w:tblHeader w:val="false"/>
        </w:trPr>
        <w:tc>
          <w:tcPr>
            <w:tcW w:type="dxa" w:w="284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iCs/>
                <w:sz w:val="20"/>
                <w:szCs w:val="20"/>
              </w:rPr>
              <w:t xml:space="preserve">δ[n]</w:t>
            </w:r>
          </w:p>
        </w:tc>
        <w:tc>
          <w:tcPr>
            <w:tcW w:type="dxa" w:w="403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iCs/>
                <w:sz w:val="20"/>
                <w:szCs w:val="20"/>
              </w:rPr>
              <w:t xml:space="preserve">X[k] = 1</w:t>
            </w:r>
            <w:r>
              <w:rPr>
                <w:rFonts w:ascii="Times New Roman" w:cs="Times New Roman" w:eastAsia="Times New Roman" w:hAnsi="Times New Roman"/>
                <w:b w:val="false"/>
                <w:bCs w:val="false"/>
                <w:sz w:val="20"/>
                <w:szCs w:val="20"/>
              </w:rPr>
              <w:t xml:space="preserve"> para todo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sz w:val="20"/>
                <w:szCs w:val="20"/>
              </w:rPr>
              <w:t xml:space="preserve">: espectro plano</w:t>
            </w:r>
          </w:p>
        </w:tc>
        <w:tc>
          <w:tcPr>
            <w:tcW w:type="dxa" w:w="248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Exacta a 10⁻⁹</w:t>
            </w:r>
          </w:p>
        </w:tc>
      </w:tr>
      <w:tr>
        <w:trPr>
          <w:tblHeader w:val="false"/>
        </w:trPr>
        <w:tc>
          <w:tcPr>
            <w:tcW w:type="dxa" w:w="284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iCs/>
                <w:sz w:val="20"/>
                <w:szCs w:val="20"/>
              </w:rPr>
              <w:t xml:space="preserve">δ[n - n₀]</w:t>
            </w:r>
          </w:p>
        </w:tc>
        <w:tc>
          <w:tcPr>
            <w:tcW w:type="dxa" w:w="403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Módulo unitario y fase lineal </w:t>
            </w:r>
            <w:r>
              <w:rPr>
                <w:rFonts w:ascii="Times New Roman" w:cs="Times New Roman" w:eastAsia="Times New Roman" w:hAnsi="Times New Roman"/>
                <w:b w:val="false"/>
                <w:bCs w:val="false"/>
                <w:i/>
                <w:iCs/>
                <w:sz w:val="20"/>
                <w:szCs w:val="20"/>
              </w:rPr>
              <w:t xml:space="preserve">e⁻ʲ²π ᵏ ⁿ_⁰/ᴺ</w:t>
            </w:r>
          </w:p>
        </w:tc>
        <w:tc>
          <w:tcPr>
            <w:tcW w:type="dxa" w:w="248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Exacta a 10⁻⁹</w:t>
            </w:r>
          </w:p>
        </w:tc>
      </w:tr>
      <w:tr>
        <w:trPr>
          <w:tblHeader w:val="false"/>
        </w:trPr>
        <w:tc>
          <w:tcPr>
            <w:tcW w:type="dxa" w:w="284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iCs/>
                <w:sz w:val="20"/>
                <w:szCs w:val="20"/>
              </w:rPr>
              <w:t xml:space="preserve">x[n] = c</w:t>
            </w:r>
          </w:p>
        </w:tc>
        <w:tc>
          <w:tcPr>
            <w:tcW w:type="dxa" w:w="403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i/>
                <w:iCs/>
                <w:sz w:val="20"/>
                <w:szCs w:val="20"/>
              </w:rPr>
              <w:t xml:space="preserve">X[0] = Nc</w:t>
            </w:r>
            <w:r>
              <w:rPr>
                <w:rFonts w:ascii="Times New Roman" w:cs="Times New Roman" w:eastAsia="Times New Roman" w:hAnsi="Times New Roman"/>
                <w:b w:val="false"/>
                <w:bCs w:val="false"/>
                <w:sz w:val="20"/>
                <w:szCs w:val="20"/>
              </w:rPr>
              <w:t xml:space="preserve">, nulo en el resto</w:t>
            </w:r>
          </w:p>
        </w:tc>
        <w:tc>
          <w:tcPr>
            <w:tcW w:type="dxa" w:w="248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Exacta a 10⁻⁶</w:t>
            </w:r>
          </w:p>
        </w:tc>
      </w:tr>
    </w:tbl>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El par formado por el impulso y la señal constante ilustra la dualidad tiempo–frecuencia: lo que aparece concentrado en un dominio se distribuye uniformemente en el otro. La verificación por separado de las partes real e imaginaria de un coseno y un seno confirma además la convención de signo del exponente.</w:t>
      </w:r>
    </w:p>
    <w:p>
      <w:pPr>
        <w:spacing w:after="0" w:line="480"/>
        <w:ind w:firstLine="720"/>
        <w:jc w:val="both"/>
      </w:pPr>
      <w:r>
        <w:rPr>
          <w:rFonts w:ascii="Times New Roman" w:cs="Times New Roman" w:eastAsia="Times New Roman" w:hAnsi="Times New Roman"/>
          <w:b/>
          <w:bCs/>
          <w:sz w:val="24"/>
          <w:szCs w:val="24"/>
        </w:rPr>
        <w:t xml:space="preserve">Justificación del costo computacional.</w:t>
      </w:r>
      <w:r>
        <w:rPr>
          <w:rFonts w:ascii="Times New Roman" w:cs="Times New Roman" w:eastAsia="Times New Roman" w:hAnsi="Times New Roman"/>
          <w:sz w:val="24"/>
          <w:szCs w:val="24"/>
        </w:rPr>
        <w:t xml:space="preserve"> El cálculo directo de la DFT requiere </w:t>
      </w:r>
      <w:r>
        <w:rPr>
          <w:rFonts w:ascii="Times New Roman" w:cs="Times New Roman" w:eastAsia="Times New Roman" w:hAnsi="Times New Roman"/>
          <w:i/>
          <w:iCs/>
          <w:sz w:val="24"/>
          <w:szCs w:val="24"/>
        </w:rPr>
        <w:t xml:space="preserve">N²</w:t>
      </w:r>
      <w:r>
        <w:rPr>
          <w:rFonts w:ascii="Times New Roman" w:cs="Times New Roman" w:eastAsia="Times New Roman" w:hAnsi="Times New Roman"/>
          <w:sz w:val="24"/>
          <w:szCs w:val="24"/>
        </w:rPr>
        <w:t xml:space="preserve"> operaciones frente a las </w:t>
      </w:r>
      <w:r>
        <w:rPr>
          <w:rFonts w:ascii="Times New Roman" w:cs="Times New Roman" w:eastAsia="Times New Roman" w:hAnsi="Times New Roman"/>
          <w:i/>
          <w:iCs/>
          <w:sz w:val="24"/>
          <w:szCs w:val="24"/>
        </w:rPr>
        <w:t xml:space="preserve">N log₂ N</w:t>
      </w:r>
      <w:r>
        <w:rPr>
          <w:rFonts w:ascii="Times New Roman" w:cs="Times New Roman" w:eastAsia="Times New Roman" w:hAnsi="Times New Roman"/>
          <w:sz w:val="24"/>
          <w:szCs w:val="24"/>
        </w:rPr>
        <w:t xml:space="preserve"> de la FFT:</w:t>
      </w:r>
    </w:p>
    <w:p>
      <w:pPr>
        <w:keepNext/>
        <w:spacing w:after="0" w:before="200" w:line="480"/>
      </w:pPr>
      <w:r>
        <w:rPr>
          <w:rFonts w:ascii="Times New Roman" w:cs="Times New Roman" w:eastAsia="Times New Roman" w:hAnsi="Times New Roman"/>
          <w:b/>
          <w:bCs/>
          <w:sz w:val="24"/>
          <w:szCs w:val="24"/>
        </w:rPr>
        <w:t xml:space="preserve">Tabla 6</w:t>
      </w:r>
    </w:p>
    <w:p>
      <w:pPr>
        <w:keepNext/>
        <w:spacing w:after="80" w:line="480"/>
      </w:pPr>
      <w:r>
        <w:rPr>
          <w:rFonts w:ascii="Times New Roman" w:cs="Times New Roman" w:eastAsia="Times New Roman" w:hAnsi="Times New Roman"/>
          <w:i/>
          <w:iCs/>
          <w:sz w:val="24"/>
          <w:szCs w:val="24"/>
        </w:rPr>
        <w:t xml:space="preserve">Costo computacional comparado entre la DFT directa y la FFT</w:t>
      </w:r>
    </w:p>
    <w:tbl>
      <w:tblPr>
        <w:tblW w:type="dxa" w:w="9360"/>
        <w:tblBorders>
          <w:top w:val="single" w:color="000000" w:sz="6"/>
          <w:left w:val="none"/>
          <w:bottom w:val="single" w:color="000000" w:sz="6"/>
          <w:right w:val="none"/>
          <w:insideH w:val="none"/>
          <w:insideV w:val="none"/>
        </w:tblBorders>
      </w:tblPr>
      <w:tblGrid>
        <w:gridCol w:w="1040"/>
        <w:gridCol w:w="2431"/>
        <w:gridCol w:w="2222"/>
        <w:gridCol w:w="1792"/>
        <w:gridCol w:w="1875"/>
      </w:tblGrid>
      <w:tr>
        <w:trPr>
          <w:tblHeader/>
        </w:trPr>
        <w:tc>
          <w:tcPr>
            <w:tcW w:type="dxa" w:w="1040"/>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N</w:t>
            </w:r>
          </w:p>
        </w:tc>
        <w:tc>
          <w:tcPr>
            <w:tcW w:type="dxa" w:w="2431"/>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Operaciones DFT</w:t>
            </w:r>
          </w:p>
        </w:tc>
        <w:tc>
          <w:tcPr>
            <w:tcW w:type="dxa" w:w="2222"/>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Operaciones FFT</w:t>
            </w:r>
          </w:p>
        </w:tc>
        <w:tc>
          <w:tcPr>
            <w:tcW w:type="dxa" w:w="1792"/>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Tiempo DFT</w:t>
            </w:r>
          </w:p>
        </w:tc>
        <w:tc>
          <w:tcPr>
            <w:tcW w:type="dxa" w:w="1875"/>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Tiempo FFT</w:t>
            </w:r>
          </w:p>
        </w:tc>
      </w:tr>
      <w:tr>
        <w:trPr>
          <w:tblHeader w:val="false"/>
        </w:trPr>
        <w:tc>
          <w:tcPr>
            <w:tcW w:type="dxa" w:w="10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512</w:t>
            </w:r>
          </w:p>
        </w:tc>
        <w:tc>
          <w:tcPr>
            <w:tcW w:type="dxa" w:w="243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262 144</w:t>
            </w:r>
          </w:p>
        </w:tc>
        <w:tc>
          <w:tcPr>
            <w:tcW w:type="dxa" w:w="222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4 608</w:t>
            </w:r>
          </w:p>
        </w:tc>
        <w:tc>
          <w:tcPr>
            <w:tcW w:type="dxa" w:w="17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11.31 ms</w:t>
            </w:r>
          </w:p>
        </w:tc>
        <w:tc>
          <w:tcPr>
            <w:tcW w:type="dxa" w:w="187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0.0099 ms</w:t>
            </w:r>
          </w:p>
        </w:tc>
      </w:tr>
      <w:tr>
        <w:trPr>
          <w:tblHeader w:val="false"/>
        </w:trPr>
        <w:tc>
          <w:tcPr>
            <w:tcW w:type="dxa" w:w="104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1024</w:t>
            </w:r>
          </w:p>
        </w:tc>
        <w:tc>
          <w:tcPr>
            <w:tcW w:type="dxa" w:w="243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1 048 576</w:t>
            </w:r>
          </w:p>
        </w:tc>
        <w:tc>
          <w:tcPr>
            <w:tcW w:type="dxa" w:w="222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10 240</w:t>
            </w:r>
          </w:p>
        </w:tc>
        <w:tc>
          <w:tcPr>
            <w:tcW w:type="dxa" w:w="17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44.92 ms</w:t>
            </w:r>
          </w:p>
        </w:tc>
        <w:tc>
          <w:tcPr>
            <w:tcW w:type="dxa" w:w="187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0.0185 ms</w:t>
            </w:r>
          </w:p>
        </w:tc>
      </w:tr>
    </w:tbl>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Con un salto de 256 muestras a 16 kHz se analizan 62.5 tramas por segundo. A 0.0099 ms por transformada, el análisis espectral consume </w:t>
      </w:r>
      <w:r>
        <w:rPr>
          <w:rFonts w:ascii="Times New Roman" w:cs="Times New Roman" w:eastAsia="Times New Roman" w:hAnsi="Times New Roman"/>
          <w:b/>
          <w:bCs/>
          <w:sz w:val="24"/>
          <w:szCs w:val="24"/>
        </w:rPr>
        <w:t xml:space="preserve">0.62 ms por cada segundo de audio, equivalente al 0.06 % de un núcleo</w:t>
      </w:r>
      <w:r>
        <w:rPr>
          <w:rFonts w:ascii="Times New Roman" w:cs="Times New Roman" w:eastAsia="Times New Roman" w:hAnsi="Times New Roman"/>
          <w:sz w:val="24"/>
          <w:szCs w:val="24"/>
        </w:rPr>
        <w:t xml:space="preserve">; mediante cálculo directo serían 707 ms por segundo de audio, esto es, el 71 % de un núcleo dedicado únicamente a la transformada. Es lo que hace viable el análisis en tiempo real dentro del navegador.</w:t>
      </w:r>
    </w:p>
    <w:p>
      <w:pPr>
        <w:spacing w:after="0" w:line="480"/>
        <w:ind w:firstLine="720"/>
        <w:jc w:val="both"/>
      </w:pPr>
      <w:r>
        <w:rPr>
          <w:rFonts w:ascii="Times New Roman" w:cs="Times New Roman" w:eastAsia="Times New Roman" w:hAnsi="Times New Roman"/>
          <w:b/>
          <w:bCs/>
          <w:sz w:val="24"/>
          <w:szCs w:val="24"/>
        </w:rPr>
        <w:t xml:space="preserve">Ventana de análisis.</w:t>
      </w:r>
      <w:r>
        <w:rPr>
          <w:rFonts w:ascii="Times New Roman" w:cs="Times New Roman" w:eastAsia="Times New Roman" w:hAnsi="Times New Roman"/>
          <w:sz w:val="24"/>
          <w:szCs w:val="24"/>
        </w:rPr>
        <w:t xml:space="preserve"> La DFT asume que la trama se repite periódicamente. Si la señal no completa un número entero de ciclos dentro de la trama, los extremos no empalman y esa discontinuidad artificial se distribuye por todo el espectro. Medición con un tono situado exactamente entre dos bins, que constituye el caso más desfavorable:</w:t>
      </w:r>
    </w:p>
    <w:p>
      <w:pPr>
        <w:keepNext/>
        <w:spacing w:after="0" w:before="200" w:line="480"/>
      </w:pPr>
      <w:r>
        <w:rPr>
          <w:rFonts w:ascii="Times New Roman" w:cs="Times New Roman" w:eastAsia="Times New Roman" w:hAnsi="Times New Roman"/>
          <w:b/>
          <w:bCs/>
          <w:sz w:val="24"/>
          <w:szCs w:val="24"/>
        </w:rPr>
        <w:t xml:space="preserve">Tabla 7</w:t>
      </w:r>
    </w:p>
    <w:p>
      <w:pPr>
        <w:keepNext/>
        <w:spacing w:after="80" w:line="480"/>
      </w:pPr>
      <w:r>
        <w:rPr>
          <w:rFonts w:ascii="Times New Roman" w:cs="Times New Roman" w:eastAsia="Times New Roman" w:hAnsi="Times New Roman"/>
          <w:i/>
          <w:iCs/>
          <w:sz w:val="24"/>
          <w:szCs w:val="24"/>
        </w:rPr>
        <w:t xml:space="preserve">Fuga espectral según el tipo de ventana aplicada</w:t>
      </w:r>
    </w:p>
    <w:tbl>
      <w:tblPr>
        <w:tblW w:type="dxa" w:w="9360"/>
        <w:tblBorders>
          <w:top w:val="single" w:color="000000" w:sz="6"/>
          <w:left w:val="none"/>
          <w:bottom w:val="single" w:color="000000" w:sz="6"/>
          <w:right w:val="none"/>
          <w:insideH w:val="none"/>
          <w:insideV w:val="none"/>
        </w:tblBorders>
      </w:tblPr>
      <w:tblGrid>
        <w:gridCol w:w="3599"/>
        <w:gridCol w:w="3055"/>
        <w:gridCol w:w="2706"/>
      </w:tblGrid>
      <w:tr>
        <w:trPr>
          <w:tblHeader/>
        </w:trPr>
        <w:tc>
          <w:tcPr>
            <w:tcW w:type="dxa" w:w="3599"/>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Ventana</w:t>
            </w:r>
          </w:p>
        </w:tc>
        <w:tc>
          <w:tcPr>
            <w:tcW w:type="dxa" w:w="3055"/>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Fuga a más de 5 bins del pico</w:t>
            </w:r>
          </w:p>
        </w:tc>
        <w:tc>
          <w:tcPr>
            <w:tcW w:type="dxa" w:w="2706"/>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Nivel relativo</w:t>
            </w:r>
          </w:p>
        </w:tc>
      </w:tr>
      <w:tr>
        <w:trPr>
          <w:tblHeader w:val="false"/>
        </w:trPr>
        <w:tc>
          <w:tcPr>
            <w:tcW w:type="dxa" w:w="359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Rectangular (sin ventana)</w:t>
            </w:r>
          </w:p>
        </w:tc>
        <w:tc>
          <w:tcPr>
            <w:tcW w:type="dxa" w:w="305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0.05415</w:t>
            </w:r>
          </w:p>
        </w:tc>
        <w:tc>
          <w:tcPr>
            <w:tcW w:type="dxa" w:w="270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−21.5 dB</w:t>
            </w:r>
          </w:p>
        </w:tc>
      </w:tr>
      <w:tr>
        <w:trPr>
          <w:tblHeader w:val="false"/>
        </w:trPr>
        <w:tc>
          <w:tcPr>
            <w:tcW w:type="dxa" w:w="3599"/>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Hann</w:t>
            </w:r>
            <w:r>
              <w:rPr>
                <w:rFonts w:ascii="Times New Roman" w:cs="Times New Roman" w:eastAsia="Times New Roman" w:hAnsi="Times New Roman"/>
                <w:b w:val="false"/>
                <w:bCs w:val="false"/>
                <w:sz w:val="20"/>
                <w:szCs w:val="20"/>
              </w:rPr>
              <w:t xml:space="preserve"> (adoptada)</w:t>
            </w:r>
          </w:p>
        </w:tc>
        <w:tc>
          <w:tcPr>
            <w:tcW w:type="dxa" w:w="305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0.00198</w:t>
            </w:r>
          </w:p>
        </w:tc>
        <w:tc>
          <w:tcPr>
            <w:tcW w:type="dxa" w:w="2706"/>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−52.7 dB</w:t>
            </w:r>
          </w:p>
        </w:tc>
      </w:tr>
      <w:tr>
        <w:trPr>
          <w:tblHeader w:val="false"/>
        </w:trPr>
        <w:tc>
          <w:tcPr>
            <w:tcW w:type="dxa" w:w="359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Hamming</w:t>
            </w:r>
          </w:p>
        </w:tc>
        <w:tc>
          <w:tcPr>
            <w:tcW w:type="dxa" w:w="305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0.00701</w:t>
            </w:r>
          </w:p>
        </w:tc>
        <w:tc>
          <w:tcPr>
            <w:tcW w:type="dxa" w:w="270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−41.3 dB</w:t>
            </w:r>
          </w:p>
        </w:tc>
      </w:tr>
      <w:tr>
        <w:trPr>
          <w:tblHeader w:val="false"/>
        </w:trPr>
        <w:tc>
          <w:tcPr>
            <w:tcW w:type="dxa" w:w="359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Blackman</w:t>
            </w:r>
          </w:p>
        </w:tc>
        <w:tc>
          <w:tcPr>
            <w:tcW w:type="dxa" w:w="305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0.00068</w:t>
            </w:r>
          </w:p>
        </w:tc>
        <w:tc>
          <w:tcPr>
            <w:tcW w:type="dxa" w:w="270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−62.3 dB</w:t>
            </w:r>
          </w:p>
        </w:tc>
      </w:tr>
    </w:tbl>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La ventana de Hann sitúa la fuga 31 dB por debajo del análisis sin ventana. La ventana de Blackman ofrece mejor rechazo, pero ensancha el lóbulo principal y sacrifica resolución para separar formantes próximos, razón por la que se adoptó Hann. Dado que el enventanado atenúa la señal, el espectro se corrige dividiendo entre la ganancia coherente de la ventana, lo que restituye la amplitud original del tono con un error del 0.00 % en las amplitudes verificadas.</w:t>
      </w:r>
    </w:p>
    <w:p>
      <w:pPr>
        <w:spacing w:after="0" w:line="480"/>
        <w:ind w:firstLine="720"/>
        <w:jc w:val="both"/>
      </w:pPr>
      <w:r>
        <w:rPr>
          <w:rFonts w:ascii="Times New Roman" w:cs="Times New Roman" w:eastAsia="Times New Roman" w:hAnsi="Times New Roman"/>
          <w:b/>
          <w:bCs/>
          <w:sz w:val="24"/>
          <w:szCs w:val="24"/>
        </w:rPr>
        <w:t xml:space="preserve">Resolución de la STFT.</w:t>
      </w:r>
      <w:r>
        <w:rPr>
          <w:rFonts w:ascii="Times New Roman" w:cs="Times New Roman" w:eastAsia="Times New Roman" w:hAnsi="Times New Roman"/>
          <w:sz w:val="24"/>
          <w:szCs w:val="24"/>
        </w:rPr>
        <w:t xml:space="preserve"> Con tramas de 512 muestras y solapamiento del 50 % a 16 kHz se obtienen 31.25 Hz por bin y 16 ms de resolución temporal. La elección del tamaño de trama constituye un compromiso sin solución óptima —el principio de incertidumbre aplicado a señales—: tramas largas favorecen la resolución en frecuencia y degradan la temporal, y a la inversa. Los valores adoptados permiten separar formantes y seguir simultáneamente la evolución de una sílaba.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Inferencia de modelos en el navegador</w:t>
      </w:r>
    </w:p>
    <w:p>
      <w:pPr>
        <w:spacing w:after="0" w:line="480"/>
        <w:ind w:firstLine="720"/>
        <w:jc w:val="both"/>
      </w:pPr>
      <w:r>
        <w:rPr>
          <w:rFonts w:ascii="Times New Roman" w:cs="Times New Roman" w:eastAsia="Times New Roman" w:hAnsi="Times New Roman"/>
          <w:sz w:val="24"/>
          <w:szCs w:val="24"/>
        </w:rPr>
        <w:t xml:space="preserve">transformers.js ejecuta modelos del Hub de Hugging Face sobre ONNX Runtime Web, compilado a WebAssembly, con posibilidad de acelerar por WebGPU. Los modelos se distribuyen </w:t>
      </w:r>
      <w:r>
        <w:rPr>
          <w:rFonts w:ascii="Times New Roman" w:cs="Times New Roman" w:eastAsia="Times New Roman" w:hAnsi="Times New Roman"/>
          <w:b/>
          <w:bCs/>
          <w:sz w:val="24"/>
          <w:szCs w:val="24"/>
        </w:rPr>
        <w:t xml:space="preserve">cuantizados</w:t>
      </w:r>
      <w:r>
        <w:rPr>
          <w:rFonts w:ascii="Times New Roman" w:cs="Times New Roman" w:eastAsia="Times New Roman" w:hAnsi="Times New Roman"/>
          <w:sz w:val="24"/>
          <w:szCs w:val="24"/>
        </w:rPr>
        <w:t xml:space="preserve"> —pesos representados en 8 bits en lugar de coma flotante de 32— lo que reduce el tamaño de descarga y el consumo de memoria a costa de una pérdida de precisión acotada.</w:t>
      </w:r>
    </w:p>
    <w:p>
      <w:pPr>
        <w:spacing w:after="0" w:line="480"/>
        <w:ind w:firstLine="720"/>
        <w:jc w:val="both"/>
      </w:pPr>
      <w:r>
        <w:rPr>
          <w:rFonts w:ascii="Times New Roman" w:cs="Times New Roman" w:eastAsia="Times New Roman" w:hAnsi="Times New Roman"/>
          <w:b/>
          <w:bCs/>
          <w:sz w:val="24"/>
          <w:szCs w:val="24"/>
        </w:rPr>
        <w:t xml:space="preserve">Mediciones obtenidas (spike S1-T7, Chrome, WASM de un solo hilo):</w:t>
      </w:r>
    </w:p>
    <w:p>
      <w:pPr>
        <w:keepNext/>
        <w:spacing w:after="0" w:before="200" w:line="480"/>
      </w:pPr>
      <w:r>
        <w:rPr>
          <w:rFonts w:ascii="Times New Roman" w:cs="Times New Roman" w:eastAsia="Times New Roman" w:hAnsi="Times New Roman"/>
          <w:b/>
          <w:bCs/>
          <w:sz w:val="24"/>
          <w:szCs w:val="24"/>
        </w:rPr>
        <w:t xml:space="preserve">Tabla 8</w:t>
      </w:r>
    </w:p>
    <w:p>
      <w:pPr>
        <w:keepNext/>
        <w:spacing w:after="80" w:line="480"/>
      </w:pPr>
      <w:r>
        <w:rPr>
          <w:rFonts w:ascii="Times New Roman" w:cs="Times New Roman" w:eastAsia="Times New Roman" w:hAnsi="Times New Roman"/>
          <w:i/>
          <w:iCs/>
          <w:sz w:val="24"/>
          <w:szCs w:val="24"/>
        </w:rPr>
        <w:t xml:space="preserve">Métricas del reconocimiento automático del habla con Whisper-tiny.en</w:t>
      </w:r>
    </w:p>
    <w:tbl>
      <w:tblPr>
        <w:tblW w:type="dxa" w:w="9360"/>
        <w:tblBorders>
          <w:top w:val="single" w:color="000000" w:sz="6"/>
          <w:left w:val="none"/>
          <w:bottom w:val="single" w:color="000000" w:sz="6"/>
          <w:right w:val="none"/>
          <w:insideH w:val="none"/>
          <w:insideV w:val="none"/>
        </w:tblBorders>
      </w:tblPr>
      <w:tblGrid>
        <w:gridCol w:w="2704"/>
        <w:gridCol w:w="1703"/>
        <w:gridCol w:w="4953"/>
      </w:tblGrid>
      <w:tr>
        <w:trPr>
          <w:tblHeader/>
        </w:trPr>
        <w:tc>
          <w:tcPr>
            <w:tcW w:type="dxa" w:w="2704"/>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Medida</w:t>
            </w:r>
          </w:p>
        </w:tc>
        <w:tc>
          <w:tcPr>
            <w:tcW w:type="dxa" w:w="1703"/>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Valor</w:t>
            </w:r>
          </w:p>
        </w:tc>
        <w:tc>
          <w:tcPr>
            <w:tcW w:type="dxa" w:w="4953"/>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Interpretación</w:t>
            </w:r>
          </w:p>
        </w:tc>
      </w:tr>
      <w:tr>
        <w:trPr>
          <w:tblHeader w:val="false"/>
        </w:trPr>
        <w:tc>
          <w:tcPr>
            <w:tcW w:type="dxa" w:w="270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Carga en frío</w:t>
            </w:r>
          </w:p>
        </w:tc>
        <w:tc>
          <w:tcPr>
            <w:tcW w:type="dxa" w:w="170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17.70 s</w:t>
            </w:r>
          </w:p>
        </w:tc>
        <w:tc>
          <w:tcPr>
            <w:tcW w:type="dxa" w:w="495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Descarga y compilación; ocurre una única vez</w:t>
            </w:r>
          </w:p>
        </w:tc>
      </w:tr>
      <w:tr>
        <w:trPr>
          <w:tblHeader w:val="false"/>
        </w:trPr>
        <w:tc>
          <w:tcPr>
            <w:tcW w:type="dxa" w:w="270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Carga desde caché</w:t>
            </w:r>
          </w:p>
        </w:tc>
        <w:tc>
          <w:tcPr>
            <w:tcW w:type="dxa" w:w="170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0.54 s</w:t>
            </w:r>
          </w:p>
        </w:tc>
        <w:tc>
          <w:tcPr>
            <w:tcW w:type="dxa" w:w="495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Aproximadamente 33 veces más rápida</w:t>
            </w:r>
          </w:p>
        </w:tc>
      </w:tr>
      <w:tr>
        <w:trPr>
          <w:tblHeader w:val="false"/>
        </w:trPr>
        <w:tc>
          <w:tcPr>
            <w:tcW w:type="dxa" w:w="270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Tamaño en caché</w:t>
            </w:r>
          </w:p>
        </w:tc>
        <w:tc>
          <w:tcPr>
            <w:tcW w:type="dxa" w:w="170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~41 MB</w:t>
            </w:r>
          </w:p>
        </w:tc>
        <w:tc>
          <w:tcPr>
            <w:tcW w:type="dxa" w:w="495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Descarga única, habilita el uso offline</w:t>
            </w:r>
          </w:p>
        </w:tc>
      </w:tr>
      <w:tr>
        <w:trPr>
          <w:tblHeader w:val="false"/>
        </w:trPr>
        <w:tc>
          <w:tcPr>
            <w:tcW w:type="dxa" w:w="270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Tiempo de inferencia</w:t>
            </w:r>
          </w:p>
        </w:tc>
        <w:tc>
          <w:tcPr>
            <w:tcW w:type="dxa" w:w="170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1.44–1.72 s</w:t>
            </w:r>
          </w:p>
        </w:tc>
        <w:tc>
          <w:tcPr>
            <w:tcW w:type="dxa" w:w="495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Locuciones de 5 s</w:t>
            </w:r>
          </w:p>
        </w:tc>
      </w:tr>
      <w:tr>
        <w:trPr>
          <w:tblHeader w:val="false"/>
        </w:trPr>
        <w:tc>
          <w:tcPr>
            <w:tcW w:type="dxa" w:w="270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Factor de tiempo real (RTF)</w:t>
            </w:r>
          </w:p>
        </w:tc>
        <w:tc>
          <w:tcPr>
            <w:tcW w:type="dxa" w:w="170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0.28–0.31</w:t>
            </w:r>
          </w:p>
        </w:tc>
        <w:tc>
          <w:tcPr>
            <w:tcW w:type="dxa" w:w="495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Menor que 1: procesa más rápido que el tiempo real</w:t>
            </w:r>
          </w:p>
        </w:tc>
      </w:tr>
      <w:tr>
        <w:trPr>
          <w:tblHeader w:val="false"/>
        </w:trPr>
        <w:tc>
          <w:tcPr>
            <w:tcW w:type="dxa" w:w="270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Memoria (heap JS)</w:t>
            </w:r>
          </w:p>
        </w:tc>
        <w:tc>
          <w:tcPr>
            <w:tcW w:type="dxa" w:w="170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~290 MB</w:t>
            </w:r>
          </w:p>
        </w:tc>
        <w:tc>
          <w:tcPr>
            <w:tcW w:type="dxa" w:w="495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 vigilar al incorporar modelos adicionales</w:t>
            </w:r>
          </w:p>
        </w:tc>
      </w:tr>
    </w:tbl>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El resultado valida la viabilidad del enfoque offline: la penalización de la primera carga es un costo único, y en régimen la etapa de reconocimiento queda holgadamente bajo el objetivo de 2 segundos.</w:t>
      </w:r>
    </w:p>
    <w:p>
      <w:pPr>
        <w:spacing w:after="0" w:line="480"/>
        <w:ind w:firstLine="720"/>
        <w:jc w:val="both"/>
      </w:pPr>
      <w:r>
        <w:rPr>
          <w:rFonts w:ascii="Times New Roman" w:cs="Times New Roman" w:eastAsia="Times New Roman" w:hAnsi="Times New Roman"/>
          <w:b/>
          <w:bCs/>
          <w:sz w:val="24"/>
          <w:szCs w:val="24"/>
        </w:rPr>
        <w:t xml:space="preserve">Corrección gramatical (spike S3-T3).</w:t>
      </w:r>
      <w:r>
        <w:rPr>
          <w:rFonts w:ascii="Times New Roman" w:cs="Times New Roman" w:eastAsia="Times New Roman" w:hAnsi="Times New Roman"/>
          <w:sz w:val="24"/>
          <w:szCs w:val="24"/>
        </w:rPr>
        <w:t xml:space="preserve"> El modelo </w:t>
      </w:r>
      <w:r>
        <w:rPr>
          <w:rFonts w:ascii="Courier New" w:cs="Courier New" w:eastAsia="Courier New" w:hAnsi="Courier New"/>
          <w:sz w:val="22"/>
          <w:szCs w:val="22"/>
        </w:rPr>
        <w:t xml:space="preserve">t5-base-grammar-correction</w:t>
      </w:r>
      <w:r>
        <w:rPr>
          <w:rFonts w:ascii="Times New Roman" w:cs="Times New Roman" w:eastAsia="Times New Roman" w:hAnsi="Times New Roman"/>
          <w:sz w:val="24"/>
          <w:szCs w:val="24"/>
        </w:rPr>
        <w:t xml:space="preserve"> cuantizado a 8 bits corrige 6 de 8 frases con errores típicos de hispanohablantes —incluida una con tres errores simultáneos— con una latencia media de 320 ms y máxima de 456 ms, muy por debajo del objetivo. Se verificó experimentalmente que el modelo requiere el prefijo </w:t>
      </w:r>
      <w:r>
        <w:rPr>
          <w:rFonts w:ascii="Courier New" w:cs="Courier New" w:eastAsia="Courier New" w:hAnsi="Courier New"/>
          <w:sz w:val="22"/>
          <w:szCs w:val="22"/>
        </w:rPr>
        <w:t xml:space="preserve">"grammar: "</w:t>
      </w:r>
      <w:r>
        <w:rPr>
          <w:rFonts w:ascii="Times New Roman" w:cs="Times New Roman" w:eastAsia="Times New Roman" w:hAnsi="Times New Roman"/>
          <w:sz w:val="24"/>
          <w:szCs w:val="24"/>
        </w:rPr>
        <w:t xml:space="preserve"> en la entrada, detalle que la ficha de la conversión a ONNX omite: su ausencia degrada la corrección.</w:t>
      </w:r>
    </w:p>
    <w:p>
      <w:pPr>
        <w:spacing w:after="0" w:line="480"/>
        <w:ind w:firstLine="720"/>
        <w:jc w:val="both"/>
      </w:pPr>
      <w:r>
        <w:rPr>
          <w:rFonts w:ascii="Times New Roman" w:cs="Times New Roman" w:eastAsia="Times New Roman" w:hAnsi="Times New Roman"/>
          <w:b/>
          <w:bCs/>
          <w:sz w:val="24"/>
          <w:szCs w:val="24"/>
        </w:rPr>
        <w:t xml:space="preserve">Estudio de cuantización: 8 bits frente a 4 bits.</w:t>
      </w:r>
      <w:r>
        <w:rPr>
          <w:rFonts w:ascii="Times New Roman" w:cs="Times New Roman" w:eastAsia="Times New Roman" w:hAnsi="Times New Roman"/>
          <w:sz w:val="24"/>
          <w:szCs w:val="24"/>
        </w:rPr>
        <w:t xml:space="preserve"> Con el objetivo de reducir el tamaño de descarga se evaluó la variante de 4 bits, con un resultado contrario a la intuición:</w:t>
      </w:r>
    </w:p>
    <w:p>
      <w:pPr>
        <w:keepNext/>
        <w:spacing w:after="0" w:before="200" w:line="480"/>
      </w:pPr>
      <w:r>
        <w:rPr>
          <w:rFonts w:ascii="Times New Roman" w:cs="Times New Roman" w:eastAsia="Times New Roman" w:hAnsi="Times New Roman"/>
          <w:b/>
          <w:bCs/>
          <w:sz w:val="24"/>
          <w:szCs w:val="24"/>
        </w:rPr>
        <w:t xml:space="preserve">Tabla 9</w:t>
      </w:r>
    </w:p>
    <w:p>
      <w:pPr>
        <w:keepNext/>
        <w:spacing w:after="80" w:line="480"/>
      </w:pPr>
      <w:r>
        <w:rPr>
          <w:rFonts w:ascii="Times New Roman" w:cs="Times New Roman" w:eastAsia="Times New Roman" w:hAnsi="Times New Roman"/>
          <w:i/>
          <w:iCs/>
          <w:sz w:val="24"/>
          <w:szCs w:val="24"/>
        </w:rPr>
        <w:t xml:space="preserve">Comparación de la cuantización de ocho y cuatro bits en el corrector gramatical</w:t>
      </w:r>
    </w:p>
    <w:tbl>
      <w:tblPr>
        <w:tblW w:type="dxa" w:w="9360"/>
        <w:tblBorders>
          <w:top w:val="single" w:color="000000" w:sz="6"/>
          <w:left w:val="none"/>
          <w:bottom w:val="single" w:color="000000" w:sz="6"/>
          <w:right w:val="none"/>
          <w:insideH w:val="none"/>
          <w:insideV w:val="none"/>
        </w:tblBorders>
      </w:tblPr>
      <w:tblGrid>
        <w:gridCol w:w="3641"/>
        <w:gridCol w:w="1764"/>
        <w:gridCol w:w="3955"/>
      </w:tblGrid>
      <w:tr>
        <w:trPr>
          <w:tblHeader/>
        </w:trPr>
        <w:tc>
          <w:tcPr>
            <w:tcW w:type="dxa" w:w="3641"/>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Medida</w:t>
            </w:r>
          </w:p>
        </w:tc>
        <w:tc>
          <w:tcPr>
            <w:tcW w:type="dxa" w:w="1764"/>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q8 (8 bits)</w:t>
            </w:r>
          </w:p>
        </w:tc>
        <w:tc>
          <w:tcPr>
            <w:tcW w:type="dxa" w:w="3955"/>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q4 (4 bits)</w:t>
            </w:r>
          </w:p>
        </w:tc>
      </w:tr>
      <w:tr>
        <w:trPr>
          <w:tblHeader w:val="false"/>
        </w:trPr>
        <w:tc>
          <w:tcPr>
            <w:tcW w:type="dxa" w:w="364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Latencia media por frase</w:t>
            </w:r>
          </w:p>
        </w:tc>
        <w:tc>
          <w:tcPr>
            <w:tcW w:type="dxa" w:w="176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320 ms</w:t>
            </w:r>
          </w:p>
        </w:tc>
        <w:tc>
          <w:tcPr>
            <w:tcW w:type="dxa" w:w="395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1 209 ms (3.8 veces más lento)</w:t>
            </w:r>
          </w:p>
        </w:tc>
      </w:tr>
      <w:tr>
        <w:trPr>
          <w:tblHeader w:val="false"/>
        </w:trPr>
        <w:tc>
          <w:tcPr>
            <w:tcW w:type="dxa" w:w="364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Tamaño en caché</w:t>
            </w:r>
          </w:p>
        </w:tc>
        <w:tc>
          <w:tcPr>
            <w:tcW w:type="dxa" w:w="176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238 MB</w:t>
            </w:r>
          </w:p>
        </w:tc>
        <w:tc>
          <w:tcPr>
            <w:tcW w:type="dxa" w:w="395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303.9 MB (mayor)</w:t>
            </w:r>
          </w:p>
        </w:tc>
      </w:tr>
      <w:tr>
        <w:trPr>
          <w:tblHeader w:val="false"/>
        </w:trPr>
        <w:tc>
          <w:tcPr>
            <w:tcW w:type="dxa" w:w="364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Calidad de corrección</w:t>
            </w:r>
          </w:p>
        </w:tc>
        <w:tc>
          <w:tcPr>
            <w:tcW w:type="dxa" w:w="176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6 de 8</w:t>
            </w:r>
          </w:p>
        </w:tc>
        <w:tc>
          <w:tcPr>
            <w:tcW w:type="dxa" w:w="395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6 de 8 (idéntica)</w:t>
            </w:r>
          </w:p>
        </w:tc>
      </w:tr>
    </w:tbl>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La explicación es arquitectónica: ONNX Runtime sobre WebAssembly no dispone de núcleos de cómputo optimizados para enteros de 4 bits en CPU, de modo que </w:t>
      </w:r>
      <w:r>
        <w:rPr>
          <w:rFonts w:ascii="Times New Roman" w:cs="Times New Roman" w:eastAsia="Times New Roman" w:hAnsi="Times New Roman"/>
          <w:b/>
          <w:bCs/>
          <w:sz w:val="24"/>
          <w:szCs w:val="24"/>
        </w:rPr>
        <w:t xml:space="preserve">descuantiza en tiempo de ejecución en cada inferencia</w:t>
      </w:r>
      <w:r>
        <w:rPr>
          <w:rFonts w:ascii="Times New Roman" w:cs="Times New Roman" w:eastAsia="Times New Roman" w:hAnsi="Times New Roman"/>
          <w:sz w:val="24"/>
          <w:szCs w:val="24"/>
        </w:rPr>
        <w:t xml:space="preserve">. El ahorro teórico de memoria se paga como trabajo adicional en cada frase, y el empaquetado resulta además más voluminoso. La conclusión aplicable al proyecto es que </w:t>
      </w:r>
      <w:r>
        <w:rPr>
          <w:rFonts w:ascii="Times New Roman" w:cs="Times New Roman" w:eastAsia="Times New Roman" w:hAnsi="Times New Roman"/>
          <w:b/>
          <w:bCs/>
          <w:sz w:val="24"/>
          <w:szCs w:val="24"/>
        </w:rPr>
        <w:t xml:space="preserve">reducir la cuantización no es una vía válida para aligerar la descarga en este entorno</w:t>
      </w:r>
      <w:r>
        <w:rPr>
          <w:rFonts w:ascii="Times New Roman" w:cs="Times New Roman" w:eastAsia="Times New Roman" w:hAnsi="Times New Roman"/>
          <w:sz w:val="24"/>
          <w:szCs w:val="24"/>
        </w:rPr>
        <w:t xml:space="preserve">: si el peso resulta inaceptable, la variable a cambiar es el modelo, no el tipo de dato.</w:t>
      </w:r>
    </w:p>
    <w:p>
      <w:pPr>
        <w:spacing w:after="0" w:line="480"/>
        <w:ind w:firstLine="720"/>
        <w:jc w:val="both"/>
      </w:pPr>
      <w:r>
        <w:rPr>
          <w:rFonts w:ascii="Times New Roman" w:cs="Times New Roman" w:eastAsia="Times New Roman" w:hAnsi="Times New Roman"/>
          <w:b/>
          <w:bCs/>
          <w:sz w:val="24"/>
          <w:szCs w:val="24"/>
        </w:rPr>
        <w:t xml:space="preserve">Presupuesto de descarga inicial.</w:t>
      </w:r>
      <w:r>
        <w:rPr>
          <w:rFonts w:ascii="Times New Roman" w:cs="Times New Roman" w:eastAsia="Times New Roman" w:hAnsi="Times New Roman"/>
          <w:sz w:val="24"/>
          <w:szCs w:val="24"/>
        </w:rPr>
        <w:t xml:space="preserve"> El conjunto de artefactos necesarios para operar sin conexión suma aproximadamente 300 MB: 41 MB del reconocedor de voz, 238 MB del corrector gramatical y 21.6 MB del runtime WebAssembly de ONNX. Es una cifra elevada para una aplicación web instalable y queda registrada como riesgo activo del proyecto (véase sección 7.4).</w:t>
      </w:r>
    </w:p>
    <w:p>
      <w:pPr>
        <w:spacing w:after="0" w:line="480"/>
        <w:ind w:firstLine="720"/>
        <w:jc w:val="both"/>
      </w:pPr>
      <w:r>
        <w:rPr>
          <w:rFonts w:ascii="Times New Roman" w:cs="Times New Roman" w:eastAsia="Times New Roman" w:hAnsi="Times New Roman"/>
          <w:b/>
          <w:bCs/>
          <w:sz w:val="24"/>
          <w:szCs w:val="24"/>
        </w:rPr>
        <w:t xml:space="preserve">Limitaciones conocidas del corrector.</w:t>
      </w:r>
      <w:r>
        <w:rPr>
          <w:rFonts w:ascii="Times New Roman" w:cs="Times New Roman" w:eastAsia="Times New Roman" w:hAnsi="Times New Roman"/>
          <w:sz w:val="24"/>
          <w:szCs w:val="24"/>
        </w:rPr>
        <w:t xml:space="preserve"> El modelo no corrige la formación de comparativos (</w:t>
      </w:r>
      <w:r>
        <w:rPr>
          <w:rFonts w:ascii="Times New Roman" w:cs="Times New Roman" w:eastAsia="Times New Roman" w:hAnsi="Times New Roman"/>
          <w:i/>
          <w:iCs/>
          <w:sz w:val="24"/>
          <w:szCs w:val="24"/>
        </w:rPr>
        <w:t xml:space="preserve">more tall</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taller</w:t>
      </w:r>
      <w:r>
        <w:rPr>
          <w:rFonts w:ascii="Times New Roman" w:cs="Times New Roman" w:eastAsia="Times New Roman" w:hAnsi="Times New Roman"/>
          <w:sz w:val="24"/>
          <w:szCs w:val="24"/>
        </w:rPr>
        <w:t xml:space="preserve">) ni la inversión en preguntas con verbo modal (</w:t>
      </w:r>
      <w:r>
        <w:rPr>
          <w:rFonts w:ascii="Times New Roman" w:cs="Times New Roman" w:eastAsia="Times New Roman" w:hAnsi="Times New Roman"/>
          <w:i/>
          <w:iCs/>
          <w:sz w:val="24"/>
          <w:szCs w:val="24"/>
        </w:rPr>
        <w:t xml:space="preserve">Do you can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Can you</w:t>
      </w:r>
      <w:r>
        <w:rPr>
          <w:rFonts w:ascii="Times New Roman" w:cs="Times New Roman" w:eastAsia="Times New Roman" w:hAnsi="Times New Roman"/>
          <w:sz w:val="24"/>
          <w:szCs w:val="24"/>
        </w:rPr>
        <w:t xml:space="preserve">), ambos errores frecuentes en hispanohablantes. Se documentan explícitamente y se revisarán en la fase de optimización.</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Filtrado digital y preprocesamiento</w:t>
      </w:r>
    </w:p>
    <w:p>
      <w:pPr>
        <w:spacing w:after="0" w:line="480"/>
        <w:ind w:firstLine="720"/>
        <w:jc w:val="both"/>
      </w:pPr>
      <w:r>
        <w:rPr>
          <w:rFonts w:ascii="Times New Roman" w:cs="Times New Roman" w:eastAsia="Times New Roman" w:hAnsi="Times New Roman"/>
          <w:sz w:val="24"/>
          <w:szCs w:val="24"/>
        </w:rPr>
        <w:t xml:space="preserve">Entre la captura y el análisis la señal se acondiciona en dos etapas: un filtrado pasa-banda de 80 a 8 000 Hz y una normalización por valor eficaz (RMS).</w:t>
      </w:r>
    </w:p>
    <w:p>
      <w:pPr>
        <w:spacing w:after="0" w:line="480"/>
        <w:ind w:firstLine="720"/>
        <w:jc w:val="both"/>
      </w:pPr>
      <w:r>
        <w:rPr>
          <w:rFonts w:ascii="Times New Roman" w:cs="Times New Roman" w:eastAsia="Times New Roman" w:hAnsi="Times New Roman"/>
          <w:b/>
          <w:bCs/>
          <w:sz w:val="24"/>
          <w:szCs w:val="24"/>
        </w:rPr>
        <w:t xml:space="preserve">Criterio de selección del tipo de filtro.</w:t>
      </w:r>
      <w:r>
        <w:rPr>
          <w:rFonts w:ascii="Times New Roman" w:cs="Times New Roman" w:eastAsia="Times New Roman" w:hAnsi="Times New Roman"/>
          <w:sz w:val="24"/>
          <w:szCs w:val="24"/>
        </w:rPr>
        <w:t xml:space="preserve"> El proyecto emplea las dos familias de filtros digitales según lo que exige cada etapa:</w:t>
      </w:r>
    </w:p>
    <w:p>
      <w:pPr>
        <w:keepNext/>
        <w:spacing w:after="0" w:before="200" w:line="480"/>
      </w:pPr>
      <w:r>
        <w:rPr>
          <w:rFonts w:ascii="Times New Roman" w:cs="Times New Roman" w:eastAsia="Times New Roman" w:hAnsi="Times New Roman"/>
          <w:b/>
          <w:bCs/>
          <w:sz w:val="24"/>
          <w:szCs w:val="24"/>
        </w:rPr>
        <w:t xml:space="preserve">Tabla 10</w:t>
      </w:r>
    </w:p>
    <w:p>
      <w:pPr>
        <w:keepNext/>
        <w:spacing w:after="80" w:line="480"/>
      </w:pPr>
      <w:r>
        <w:rPr>
          <w:rFonts w:ascii="Times New Roman" w:cs="Times New Roman" w:eastAsia="Times New Roman" w:hAnsi="Times New Roman"/>
          <w:i/>
          <w:iCs/>
          <w:sz w:val="24"/>
          <w:szCs w:val="24"/>
        </w:rPr>
        <w:t xml:space="preserve">Comparación entre el filtro FIR de remuestreo y el filtro IIR de preprocesamiento</w:t>
      </w:r>
    </w:p>
    <w:tbl>
      <w:tblPr>
        <w:tblW w:type="dxa" w:w="9360"/>
        <w:tblBorders>
          <w:top w:val="single" w:color="000000" w:sz="6"/>
          <w:left w:val="none"/>
          <w:bottom w:val="single" w:color="000000" w:sz="6"/>
          <w:right w:val="none"/>
          <w:insideH w:val="none"/>
          <w:insideV w:val="none"/>
        </w:tblBorders>
      </w:tblPr>
      <w:tblGrid>
        <w:gridCol w:w="2322"/>
        <w:gridCol w:w="2655"/>
        <w:gridCol w:w="4383"/>
      </w:tblGrid>
      <w:tr>
        <w:trPr>
          <w:tblHeader/>
        </w:trPr>
        <w:tc>
          <w:tcPr>
            <w:tcW w:type="dxa" w:w="2322"/>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sz w:val="24"/>
                <w:szCs w:val="24"/>
              </w:rPr>
              <w:t xml:space="preserve"/>
            </w:r>
          </w:p>
        </w:tc>
        <w:tc>
          <w:tcPr>
            <w:tcW w:type="dxa" w:w="2655"/>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FIR (remuestreo)</w:t>
            </w:r>
          </w:p>
        </w:tc>
        <w:tc>
          <w:tcPr>
            <w:tcW w:type="dxa" w:w="4383"/>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Biquad IIR (preprocesamiento)</w:t>
            </w:r>
          </w:p>
        </w:tc>
      </w:tr>
      <w:tr>
        <w:trPr>
          <w:tblHeader w:val="false"/>
        </w:trPr>
        <w:tc>
          <w:tcPr>
            <w:tcW w:type="dxa" w:w="232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Coeficientes</w:t>
            </w:r>
          </w:p>
        </w:tc>
        <w:tc>
          <w:tcPr>
            <w:tcW w:type="dxa" w:w="265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127</w:t>
            </w:r>
          </w:p>
        </w:tc>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5</w:t>
            </w:r>
          </w:p>
        </w:tc>
      </w:tr>
      <w:tr>
        <w:trPr>
          <w:tblHeader w:val="false"/>
        </w:trPr>
        <w:tc>
          <w:tcPr>
            <w:tcW w:type="dxa" w:w="232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Fase</w:t>
            </w:r>
          </w:p>
        </w:tc>
        <w:tc>
          <w:tcPr>
            <w:tcW w:type="dxa" w:w="265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Lineal</w:t>
            </w:r>
          </w:p>
        </w:tc>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No lineal</w:t>
            </w:r>
          </w:p>
        </w:tc>
      </w:tr>
      <w:tr>
        <w:trPr>
          <w:tblHeader w:val="false"/>
        </w:trPr>
        <w:tc>
          <w:tcPr>
            <w:tcW w:type="dxa" w:w="232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Estabilidad</w:t>
            </w:r>
          </w:p>
        </w:tc>
        <w:tc>
          <w:tcPr>
            <w:tcW w:type="dxa" w:w="265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Garantizada</w:t>
            </w:r>
          </w:p>
        </w:tc>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Depende de la posición de los polos</w:t>
            </w:r>
          </w:p>
        </w:tc>
      </w:tr>
      <w:tr>
        <w:trPr>
          <w:tblHeader w:val="false"/>
        </w:trPr>
        <w:tc>
          <w:tcPr>
            <w:tcW w:type="dxa" w:w="232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Pendiente</w:t>
            </w:r>
          </w:p>
        </w:tc>
        <w:tc>
          <w:tcPr>
            <w:tcW w:type="dxa" w:w="265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Muy abrupta</w:t>
            </w:r>
          </w:p>
        </w:tc>
        <w:tc>
          <w:tcPr>
            <w:tcW w:type="dxa" w:w="43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−12 dB/octava</w:t>
            </w:r>
          </w:p>
        </w:tc>
      </w:tr>
    </w:tbl>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En el remuestreo la fase lineal es obligatoria, dado que esa señal alimenta al comparador acústico. En el preprocesamiento únicamente interesa suprimir energía fuera de la banda de voz, por lo que se adopta la estructura económica: cinco coeficientes en lugar de ciento veintisiete. Los biquads se implementaron en forma directa II transpuesta, preferible en punto flotante por acumular menor error numérico.</w:t>
      </w:r>
    </w:p>
    <w:p>
      <w:pPr>
        <w:spacing w:after="0" w:line="480"/>
        <w:ind w:firstLine="720"/>
        <w:jc w:val="both"/>
      </w:pPr>
      <w:r>
        <w:rPr>
          <w:rFonts w:ascii="Times New Roman" w:cs="Times New Roman" w:eastAsia="Times New Roman" w:hAnsi="Times New Roman"/>
          <w:b/>
          <w:bCs/>
          <w:sz w:val="24"/>
          <w:szCs w:val="24"/>
        </w:rPr>
        <w:t xml:space="preserve">Respuesta medida del pasa-banda.</w:t>
      </w:r>
      <w:r>
        <w:rPr>
          <w:rFonts w:ascii="Times New Roman" w:cs="Times New Roman" w:eastAsia="Times New Roman" w:hAnsi="Times New Roman"/>
          <w:sz w:val="24"/>
          <w:szCs w:val="24"/>
        </w:rPr>
        <w:t xml:space="preserve"> El filtro elimina íntegramente la componente continua del micrófono y atenúa el zumbido de la red eléctrica, preservando la banda fonética:</w:t>
      </w:r>
    </w:p>
    <w:p>
      <w:pPr>
        <w:keepNext/>
        <w:spacing w:after="0" w:before="200" w:line="480"/>
      </w:pPr>
      <w:r>
        <w:rPr>
          <w:rFonts w:ascii="Times New Roman" w:cs="Times New Roman" w:eastAsia="Times New Roman" w:hAnsi="Times New Roman"/>
          <w:b/>
          <w:bCs/>
          <w:sz w:val="24"/>
          <w:szCs w:val="24"/>
        </w:rPr>
        <w:t xml:space="preserve">Tabla 11</w:t>
      </w:r>
    </w:p>
    <w:p>
      <w:pPr>
        <w:keepNext/>
        <w:spacing w:after="80" w:line="480"/>
      </w:pPr>
      <w:r>
        <w:rPr>
          <w:rFonts w:ascii="Times New Roman" w:cs="Times New Roman" w:eastAsia="Times New Roman" w:hAnsi="Times New Roman"/>
          <w:i/>
          <w:iCs/>
          <w:sz w:val="24"/>
          <w:szCs w:val="24"/>
        </w:rPr>
        <w:t xml:space="preserve">Respuesta en frecuencia medida del filtro pasa-banda de 80 a 8 000 Hz</w:t>
      </w:r>
    </w:p>
    <w:tbl>
      <w:tblPr>
        <w:tblW w:type="dxa" w:w="9360"/>
        <w:tblBorders>
          <w:top w:val="single" w:color="000000" w:sz="6"/>
          <w:left w:val="none"/>
          <w:bottom w:val="single" w:color="000000" w:sz="6"/>
          <w:right w:val="none"/>
          <w:insideH w:val="none"/>
          <w:insideV w:val="none"/>
        </w:tblBorders>
      </w:tblPr>
      <w:tblGrid>
        <w:gridCol w:w="1909"/>
        <w:gridCol w:w="1876"/>
        <w:gridCol w:w="1583"/>
        <w:gridCol w:w="3992"/>
      </w:tblGrid>
      <w:tr>
        <w:trPr>
          <w:tblHeader/>
        </w:trPr>
        <w:tc>
          <w:tcPr>
            <w:tcW w:type="dxa" w:w="1909"/>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Frecuencia</w:t>
            </w:r>
          </w:p>
        </w:tc>
        <w:tc>
          <w:tcPr>
            <w:tcW w:type="dxa" w:w="1876"/>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Ganancia</w:t>
            </w:r>
          </w:p>
        </w:tc>
        <w:tc>
          <w:tcPr>
            <w:tcW w:type="dxa" w:w="1583"/>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Nivel</w:t>
            </w:r>
          </w:p>
        </w:tc>
        <w:tc>
          <w:tcPr>
            <w:tcW w:type="dxa" w:w="3992"/>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Contenido</w:t>
            </w:r>
          </w:p>
        </w:tc>
      </w:tr>
      <w:tr>
        <w:trPr>
          <w:tblHeader w:val="false"/>
        </w:trPr>
        <w:tc>
          <w:tcPr>
            <w:tcW w:type="dxa" w:w="190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 Hz</w:t>
            </w:r>
          </w:p>
        </w:tc>
        <w:tc>
          <w:tcPr>
            <w:tcW w:type="dxa" w:w="187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0.00000</w:t>
            </w:r>
          </w:p>
        </w:tc>
        <w:tc>
          <w:tcPr>
            <w:tcW w:type="dxa" w:w="15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w:t>
            </w:r>
          </w:p>
        </w:tc>
        <w:tc>
          <w:tcPr>
            <w:tcW w:type="dxa" w:w="39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Componente continua</w:t>
            </w:r>
          </w:p>
        </w:tc>
      </w:tr>
      <w:tr>
        <w:trPr>
          <w:tblHeader w:val="false"/>
        </w:trPr>
        <w:tc>
          <w:tcPr>
            <w:tcW w:type="dxa" w:w="190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50 Hz</w:t>
            </w:r>
          </w:p>
        </w:tc>
        <w:tc>
          <w:tcPr>
            <w:tcW w:type="dxa" w:w="187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0.36382</w:t>
            </w:r>
          </w:p>
        </w:tc>
        <w:tc>
          <w:tcPr>
            <w:tcW w:type="dxa" w:w="15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−8.78 dB</w:t>
            </w:r>
          </w:p>
        </w:tc>
        <w:tc>
          <w:tcPr>
            <w:tcW w:type="dxa" w:w="39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Zumbido de red (Europa)</w:t>
            </w:r>
          </w:p>
        </w:tc>
      </w:tr>
      <w:tr>
        <w:trPr>
          <w:tblHeader w:val="false"/>
        </w:trPr>
        <w:tc>
          <w:tcPr>
            <w:tcW w:type="dxa" w:w="190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60 Hz</w:t>
            </w:r>
          </w:p>
        </w:tc>
        <w:tc>
          <w:tcPr>
            <w:tcW w:type="dxa" w:w="187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0.49023</w:t>
            </w:r>
          </w:p>
        </w:tc>
        <w:tc>
          <w:tcPr>
            <w:tcW w:type="dxa" w:w="15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−6.19 dB</w:t>
            </w:r>
          </w:p>
        </w:tc>
        <w:tc>
          <w:tcPr>
            <w:tcW w:type="dxa" w:w="39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Zumbido de red (América)</w:t>
            </w:r>
          </w:p>
        </w:tc>
      </w:tr>
      <w:tr>
        <w:trPr>
          <w:tblHeader w:val="false"/>
        </w:trPr>
        <w:tc>
          <w:tcPr>
            <w:tcW w:type="dxa" w:w="1909"/>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80 Hz</w:t>
            </w:r>
          </w:p>
        </w:tc>
        <w:tc>
          <w:tcPr>
            <w:tcW w:type="dxa" w:w="187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0.70711</w:t>
            </w:r>
          </w:p>
        </w:tc>
        <w:tc>
          <w:tcPr>
            <w:tcW w:type="dxa" w:w="1583"/>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−3.01 dB</w:t>
            </w:r>
          </w:p>
        </w:tc>
        <w:tc>
          <w:tcPr>
            <w:tcW w:type="dxa" w:w="39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Frecuencia de corte</w:t>
            </w:r>
          </w:p>
        </w:tc>
      </w:tr>
      <w:tr>
        <w:trPr>
          <w:tblHeader w:val="false"/>
        </w:trPr>
        <w:tc>
          <w:tcPr>
            <w:tcW w:type="dxa" w:w="190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150 Hz</w:t>
            </w:r>
          </w:p>
        </w:tc>
        <w:tc>
          <w:tcPr>
            <w:tcW w:type="dxa" w:w="187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0.96188</w:t>
            </w:r>
          </w:p>
        </w:tc>
        <w:tc>
          <w:tcPr>
            <w:tcW w:type="dxa" w:w="15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−0.34 dB</w:t>
            </w:r>
          </w:p>
        </w:tc>
        <w:tc>
          <w:tcPr>
            <w:tcW w:type="dxa" w:w="39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Fundamental masculina</w:t>
            </w:r>
          </w:p>
        </w:tc>
      </w:tr>
      <w:tr>
        <w:trPr>
          <w:tblHeader w:val="false"/>
        </w:trPr>
        <w:tc>
          <w:tcPr>
            <w:tcW w:type="dxa" w:w="190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300 Hz</w:t>
            </w:r>
          </w:p>
        </w:tc>
        <w:tc>
          <w:tcPr>
            <w:tcW w:type="dxa" w:w="187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0.99749</w:t>
            </w:r>
          </w:p>
        </w:tc>
        <w:tc>
          <w:tcPr>
            <w:tcW w:type="dxa" w:w="15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−0.02 dB</w:t>
            </w:r>
          </w:p>
        </w:tc>
        <w:tc>
          <w:tcPr>
            <w:tcW w:type="dxa" w:w="39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Fundamental y primer formante</w:t>
            </w:r>
          </w:p>
        </w:tc>
      </w:tr>
      <w:tr>
        <w:trPr>
          <w:tblHeader w:val="false"/>
        </w:trPr>
        <w:tc>
          <w:tcPr>
            <w:tcW w:type="dxa" w:w="190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3 400 Hz</w:t>
            </w:r>
          </w:p>
        </w:tc>
        <w:tc>
          <w:tcPr>
            <w:tcW w:type="dxa" w:w="187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1.00000</w:t>
            </w:r>
          </w:p>
        </w:tc>
        <w:tc>
          <w:tcPr>
            <w:tcW w:type="dxa" w:w="158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−0.00 dB</w:t>
            </w:r>
          </w:p>
        </w:tc>
        <w:tc>
          <w:tcPr>
            <w:tcW w:type="dxa" w:w="399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Formantes superiores</w:t>
            </w:r>
          </w:p>
        </w:tc>
      </w:tr>
    </w:tbl>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La atenuación de exactamente 3.01 dB en la frecuencia de corte confirma el diseño de Butterworth.</w:t>
      </w:r>
    </w:p>
    <w:p>
      <w:pPr>
        <w:spacing w:after="0" w:line="480"/>
        <w:ind w:firstLine="720"/>
        <w:jc w:val="both"/>
      </w:pPr>
      <w:r>
        <w:rPr>
          <w:rFonts w:ascii="Times New Roman" w:cs="Times New Roman" w:eastAsia="Times New Roman" w:hAnsi="Times New Roman"/>
          <w:b/>
          <w:bCs/>
          <w:sz w:val="24"/>
          <w:szCs w:val="24"/>
        </w:rPr>
        <w:t xml:space="preserve">Observación sobre el límite superior de la banda.</w:t>
      </w:r>
      <w:r>
        <w:rPr>
          <w:rFonts w:ascii="Times New Roman" w:cs="Times New Roman" w:eastAsia="Times New Roman" w:hAnsi="Times New Roman"/>
          <w:sz w:val="24"/>
          <w:szCs w:val="24"/>
        </w:rPr>
        <w:t xml:space="preserve"> A 16 kHz el borde superior especificado (8 000 Hz) coincide con la frecuencia de Nyquist. Un biquad diseñado en ese punto resulta degenerado: sus polos se sitúan sobre la circunferencia unitaria y el filtro pierde la estabilidad. La etapa, sin embargo, es innecesaria por dos razones concurrentes: por definición del muestreo la señal no puede contener componentes por encima de 8 kHz, y el filtro anti-aliasing descrito en 5.1 ya aporta 44.6 dB de atenuación en ese punto. </w:t>
      </w:r>
      <w:r>
        <w:rPr>
          <w:rFonts w:ascii="Times New Roman" w:cs="Times New Roman" w:eastAsia="Times New Roman" w:hAnsi="Times New Roman"/>
          <w:b/>
          <w:bCs/>
          <w:sz w:val="24"/>
          <w:szCs w:val="24"/>
        </w:rPr>
        <w:t xml:space="preserve">El límite superior de la banda lo impone la propia frecuencia de muestreo.</w:t>
      </w:r>
      <w:r>
        <w:rPr>
          <w:rFonts w:ascii="Times New Roman" w:cs="Times New Roman" w:eastAsia="Times New Roman" w:hAnsi="Times New Roman"/>
          <w:sz w:val="24"/>
          <w:szCs w:val="24"/>
        </w:rPr>
        <w:t xml:space="preserve"> En consecuencia, la implementación construye la etapa pasa-bajos únicamente cuando el borde superior se sitúa por debajo del Nyquist, y a 16 kHz el pasa-banda se reduce correctamente a un pasa-altos de 80 Hz.</w:t>
      </w:r>
    </w:p>
    <w:p>
      <w:pPr>
        <w:spacing w:after="0" w:line="480"/>
        <w:ind w:firstLine="720"/>
        <w:jc w:val="both"/>
      </w:pPr>
      <w:r>
        <w:rPr>
          <w:rFonts w:ascii="Times New Roman" w:cs="Times New Roman" w:eastAsia="Times New Roman" w:hAnsi="Times New Roman"/>
          <w:b/>
          <w:bCs/>
          <w:sz w:val="24"/>
          <w:szCs w:val="24"/>
        </w:rPr>
        <w:t xml:space="preserve">Normalización por valor eficaz.</w:t>
      </w:r>
      <w:r>
        <w:rPr>
          <w:rFonts w:ascii="Times New Roman" w:cs="Times New Roman" w:eastAsia="Times New Roman" w:hAnsi="Times New Roman"/>
          <w:sz w:val="24"/>
          <w:szCs w:val="24"/>
        </w:rPr>
        <w:t xml:space="preserve"> Dos locutores que pronuncian la misma frase a distinto volumen deben obtener idéntica puntuación; sin normalizar, el comparador mediría intensidad en lugar de pronunciación. La señal se escala a un valor eficaz de 0.1, con la ganancia acotada por dos límites: un máximo absoluto que impide amplificar el silencio hasta convertir el ruido de fondo en señal, y un límite derivado del valor de pico que evita la saturación, cuyo recorte introduciría armónicos espurios en el espectro.</w:t>
      </w:r>
    </w:p>
    <w:p>
      <w:pPr>
        <w:spacing w:after="0" w:line="480"/>
        <w:ind w:firstLine="720"/>
        <w:jc w:val="both"/>
      </w:pPr>
      <w:r>
        <w:rPr>
          <w:rFonts w:ascii="Times New Roman" w:cs="Times New Roman" w:eastAsia="Times New Roman" w:hAnsi="Times New Roman"/>
          <w:sz w:val="24"/>
          <w:szCs w:val="24"/>
        </w:rPr>
        <w:t xml:space="preserve">El orden de las operaciones es determinante. Aplicado a una señal de voz contaminada con un zumbido de 60 Hz de amplitud triple:</w:t>
      </w:r>
    </w:p>
    <w:p>
      <w:pPr>
        <w:keepNext/>
        <w:spacing w:after="0" w:before="200" w:line="480"/>
      </w:pPr>
      <w:r>
        <w:rPr>
          <w:rFonts w:ascii="Times New Roman" w:cs="Times New Roman" w:eastAsia="Times New Roman" w:hAnsi="Times New Roman"/>
          <w:b/>
          <w:bCs/>
          <w:sz w:val="24"/>
          <w:szCs w:val="24"/>
        </w:rPr>
        <w:t xml:space="preserve">Tabla 12</w:t>
      </w:r>
    </w:p>
    <w:p>
      <w:pPr>
        <w:keepNext/>
        <w:spacing w:after="80" w:line="480"/>
      </w:pPr>
      <w:r>
        <w:rPr>
          <w:rFonts w:ascii="Times New Roman" w:cs="Times New Roman" w:eastAsia="Times New Roman" w:hAnsi="Times New Roman"/>
          <w:i/>
          <w:iCs/>
          <w:sz w:val="24"/>
          <w:szCs w:val="24"/>
        </w:rPr>
        <w:t xml:space="preserve">Efecto de la normalización por valor eficaz sobre el nivel de la señal</w:t>
      </w:r>
    </w:p>
    <w:tbl>
      <w:tblPr>
        <w:tblW w:type="dxa" w:w="9360"/>
        <w:tblBorders>
          <w:top w:val="single" w:color="000000" w:sz="6"/>
          <w:left w:val="none"/>
          <w:bottom w:val="single" w:color="000000" w:sz="6"/>
          <w:right w:val="none"/>
          <w:insideH w:val="none"/>
          <w:insideV w:val="none"/>
        </w:tblBorders>
      </w:tblPr>
      <w:tblGrid>
        <w:gridCol w:w="4928"/>
        <w:gridCol w:w="4432"/>
      </w:tblGrid>
      <w:tr>
        <w:trPr>
          <w:tblHeader/>
        </w:trPr>
        <w:tc>
          <w:tcPr>
            <w:tcW w:type="dxa" w:w="4928"/>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sz w:val="24"/>
                <w:szCs w:val="24"/>
              </w:rPr>
              <w:t xml:space="preserve"/>
            </w:r>
          </w:p>
        </w:tc>
        <w:tc>
          <w:tcPr>
            <w:tcW w:type="dxa" w:w="4432"/>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Valor eficaz</w:t>
            </w:r>
          </w:p>
        </w:tc>
      </w:tr>
      <w:tr>
        <w:trPr>
          <w:tblHeader w:val="false"/>
        </w:trPr>
        <w:tc>
          <w:tcPr>
            <w:tcW w:type="dxa" w:w="492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Entrada limpia</w:t>
            </w:r>
          </w:p>
        </w:tc>
        <w:tc>
          <w:tcPr>
            <w:tcW w:type="dxa" w:w="443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0.07071</w:t>
            </w:r>
          </w:p>
        </w:tc>
      </w:tr>
      <w:tr>
        <w:trPr>
          <w:tblHeader w:val="false"/>
        </w:trPr>
        <w:tc>
          <w:tcPr>
            <w:tcW w:type="dxa" w:w="492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Entrada contaminada</w:t>
            </w:r>
          </w:p>
        </w:tc>
        <w:tc>
          <w:tcPr>
            <w:tcW w:type="dxa" w:w="443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0.22361 (inflado 3.2 veces)</w:t>
            </w:r>
          </w:p>
        </w:tc>
      </w:tr>
      <w:tr>
        <w:trPr>
          <w:tblHeader w:val="false"/>
        </w:trPr>
        <w:tc>
          <w:tcPr>
            <w:tcW w:type="dxa" w:w="4928"/>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Salida limpia</w:t>
            </w:r>
          </w:p>
        </w:tc>
        <w:tc>
          <w:tcPr>
            <w:tcW w:type="dxa" w:w="4432"/>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0.10000</w:t>
            </w:r>
          </w:p>
        </w:tc>
      </w:tr>
      <w:tr>
        <w:trPr>
          <w:tblHeader w:val="false"/>
        </w:trPr>
        <w:tc>
          <w:tcPr>
            <w:tcW w:type="dxa" w:w="4928"/>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Salida contaminada</w:t>
            </w:r>
          </w:p>
        </w:tc>
        <w:tc>
          <w:tcPr>
            <w:tcW w:type="dxa" w:w="4432"/>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0.10000</w:t>
            </w:r>
          </w:p>
        </w:tc>
      </w:tr>
    </w:tbl>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Filtrar antes de normalizar hace que el zumbido no influya en la ganancia aplicada: ambas salidas coinciden hasta la quinta cifra decimal. Con el orden inverso, la señal contaminada quedaría 3.2 veces más baja que la limpia.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Detección de actividad de voz</w:t>
      </w:r>
    </w:p>
    <w:p>
      <w:pPr>
        <w:spacing w:after="0" w:line="480"/>
        <w:ind w:firstLine="720"/>
        <w:jc w:val="both"/>
      </w:pPr>
      <w:r>
        <w:rPr>
          <w:rFonts w:ascii="Times New Roman" w:cs="Times New Roman" w:eastAsia="Times New Roman" w:hAnsi="Times New Roman"/>
          <w:sz w:val="24"/>
          <w:szCs w:val="24"/>
        </w:rPr>
        <w:t xml:space="preserve">La detección de los instantes de inicio y fin del habla cumple dos funciones: recortar el silencio antes del reconocimiento —lo que reduce directamente la latencia— y delimitar el fragmento que el comparador acústico alineará contra la referencia sintetizada.</w:t>
      </w:r>
    </w:p>
    <w:p>
      <w:pPr>
        <w:spacing w:after="0" w:line="480"/>
        <w:ind w:firstLine="720"/>
        <w:jc w:val="both"/>
      </w:pPr>
      <w:r>
        <w:rPr>
          <w:rFonts w:ascii="Times New Roman" w:cs="Times New Roman" w:eastAsia="Times New Roman" w:hAnsi="Times New Roman"/>
          <w:sz w:val="24"/>
          <w:szCs w:val="24"/>
        </w:rPr>
        <w:t xml:space="preserve">La señal se divide en tramas de 32 ms con 50 % de solapamiento y de cada una se calcula la energía en decibelios, </w:t>
      </w:r>
      <w:r>
        <w:rPr>
          <w:rFonts w:ascii="Times New Roman" w:cs="Times New Roman" w:eastAsia="Times New Roman" w:hAnsi="Times New Roman"/>
          <w:i/>
          <w:iCs/>
          <w:sz w:val="24"/>
          <w:szCs w:val="24"/>
        </w:rPr>
        <w:t xml:space="preserve">E[m] = 20 log₁₀(RMS[m])</w:t>
      </w:r>
      <w:r>
        <w:rPr>
          <w:rFonts w:ascii="Times New Roman" w:cs="Times New Roman" w:eastAsia="Times New Roman" w:hAnsi="Times New Roman"/>
          <w:sz w:val="24"/>
          <w:szCs w:val="24"/>
        </w:rPr>
        <w:t xml:space="preserve">. Un umbral fijo no resulta viable porque el nivel de ruido depende del micrófono y del recinto, de modo que el umbral se determina </w:t>
      </w:r>
      <w:r>
        <w:rPr>
          <w:rFonts w:ascii="Times New Roman" w:cs="Times New Roman" w:eastAsia="Times New Roman" w:hAnsi="Times New Roman"/>
          <w:b/>
          <w:bCs/>
          <w:sz w:val="24"/>
          <w:szCs w:val="24"/>
        </w:rPr>
        <w:t xml:space="preserve">relativo al ruido de fondo medido en la propia grabación</w:t>
      </w:r>
      <w:r>
        <w:rPr>
          <w:rFonts w:ascii="Times New Roman" w:cs="Times New Roman" w:eastAsia="Times New Roman" w:hAnsi="Times New Roman"/>
          <w:sz w:val="24"/>
          <w:szCs w:val="24"/>
        </w:rPr>
        <w:t xml:space="preserve">, estimado como el percentil 10 de las energías por trama.</w:t>
      </w:r>
    </w:p>
    <w:p>
      <w:pPr>
        <w:keepNext/>
        <w:spacing w:after="0" w:before="200" w:line="480"/>
      </w:pPr>
      <w:r>
        <w:rPr>
          <w:rFonts w:ascii="Times New Roman" w:cs="Times New Roman" w:eastAsia="Times New Roman" w:hAnsi="Times New Roman"/>
          <w:b/>
          <w:bCs/>
          <w:sz w:val="24"/>
          <w:szCs w:val="24"/>
        </w:rPr>
        <w:t xml:space="preserve">Tabla 13</w:t>
      </w:r>
    </w:p>
    <w:p>
      <w:pPr>
        <w:keepNext/>
        <w:spacing w:after="80" w:line="480"/>
      </w:pPr>
      <w:r>
        <w:rPr>
          <w:rFonts w:ascii="Times New Roman" w:cs="Times New Roman" w:eastAsia="Times New Roman" w:hAnsi="Times New Roman"/>
          <w:i/>
          <w:iCs/>
          <w:sz w:val="24"/>
          <w:szCs w:val="24"/>
        </w:rPr>
        <w:t xml:space="preserve">Umbrales del detector de actividad de voz según las condiciones del recinto</w:t>
      </w:r>
    </w:p>
    <w:tbl>
      <w:tblPr>
        <w:tblW w:type="dxa" w:w="9360"/>
        <w:tblBorders>
          <w:top w:val="single" w:color="000000" w:sz="6"/>
          <w:left w:val="none"/>
          <w:bottom w:val="single" w:color="000000" w:sz="6"/>
          <w:right w:val="none"/>
          <w:insideH w:val="none"/>
          <w:insideV w:val="none"/>
        </w:tblBorders>
      </w:tblPr>
      <w:tblGrid>
        <w:gridCol w:w="2907"/>
        <w:gridCol w:w="2005"/>
        <w:gridCol w:w="2285"/>
        <w:gridCol w:w="2163"/>
      </w:tblGrid>
      <w:tr>
        <w:trPr>
          <w:tblHeader/>
        </w:trPr>
        <w:tc>
          <w:tcPr>
            <w:tcW w:type="dxa" w:w="2907"/>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Recinto</w:t>
            </w:r>
          </w:p>
        </w:tc>
        <w:tc>
          <w:tcPr>
            <w:tcW w:type="dxa" w:w="2005"/>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Ruido de fondo</w:t>
            </w:r>
          </w:p>
        </w:tc>
        <w:tc>
          <w:tcPr>
            <w:tcW w:type="dxa" w:w="2285"/>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Umbral de entrada</w:t>
            </w:r>
          </w:p>
        </w:tc>
        <w:tc>
          <w:tcPr>
            <w:tcW w:type="dxa" w:w="2163"/>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Umbral de salida</w:t>
            </w:r>
          </w:p>
        </w:tc>
      </w:tr>
      <w:tr>
        <w:trPr>
          <w:tblHeader w:val="false"/>
        </w:trPr>
        <w:tc>
          <w:tcPr>
            <w:tcW w:type="dxa" w:w="290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Silencioso</w:t>
            </w:r>
          </w:p>
        </w:tc>
        <w:tc>
          <w:tcPr>
            <w:tcW w:type="dxa" w:w="200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−64.8 dB</w:t>
            </w:r>
          </w:p>
        </w:tc>
        <w:tc>
          <w:tcPr>
            <w:tcW w:type="dxa" w:w="228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−50.0 dB</w:t>
            </w:r>
          </w:p>
        </w:tc>
        <w:tc>
          <w:tcPr>
            <w:tcW w:type="dxa" w:w="216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−54.0 dB</w:t>
            </w:r>
          </w:p>
        </w:tc>
      </w:tr>
      <w:tr>
        <w:trPr>
          <w:tblHeader w:val="false"/>
        </w:trPr>
        <w:tc>
          <w:tcPr>
            <w:tcW w:type="dxa" w:w="290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Normal</w:t>
            </w:r>
          </w:p>
        </w:tc>
        <w:tc>
          <w:tcPr>
            <w:tcW w:type="dxa" w:w="200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−50.8 dB</w:t>
            </w:r>
          </w:p>
        </w:tc>
        <w:tc>
          <w:tcPr>
            <w:tcW w:type="dxa" w:w="228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−40.8 dB</w:t>
            </w:r>
          </w:p>
        </w:tc>
        <w:tc>
          <w:tcPr>
            <w:tcW w:type="dxa" w:w="216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−44.8 dB</w:t>
            </w:r>
          </w:p>
        </w:tc>
      </w:tr>
      <w:tr>
        <w:trPr>
          <w:tblHeader w:val="false"/>
        </w:trPr>
        <w:tc>
          <w:tcPr>
            <w:tcW w:type="dxa" w:w="290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Ruidoso (20 veces más ruido)</w:t>
            </w:r>
          </w:p>
        </w:tc>
        <w:tc>
          <w:tcPr>
            <w:tcW w:type="dxa" w:w="200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−41.9 dB</w:t>
            </w:r>
          </w:p>
        </w:tc>
        <w:tc>
          <w:tcPr>
            <w:tcW w:type="dxa" w:w="228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−31.9 dB</w:t>
            </w:r>
          </w:p>
        </w:tc>
        <w:tc>
          <w:tcPr>
            <w:tcW w:type="dxa" w:w="216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−35.9 dB</w:t>
            </w:r>
          </w:p>
        </w:tc>
      </w:tr>
    </w:tbl>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Tres mecanismos corrigen los errores característicos de un umbral simple: histéresis entre los umbrales de entrada y salida, que impide la oscilación de la decisión; confirmación durante 48 ms, que evita que un impulso aislado abra un segmento; y un margen de permanencia de 200 ms antes de cerrar, sin el cual el detector fragmentaría la frase en cada oclusiva —/p/, /t/, /k/—, que constituyen silencios reales de hasta 100 ms en el interior de una palabra.</w:t>
      </w:r>
    </w:p>
    <w:p>
      <w:pPr>
        <w:spacing w:after="0" w:line="480"/>
        <w:ind w:firstLine="720"/>
        <w:jc w:val="both"/>
      </w:pPr>
      <w:r>
        <w:rPr>
          <w:rFonts w:ascii="Times New Roman" w:cs="Times New Roman" w:eastAsia="Times New Roman" w:hAnsi="Times New Roman"/>
          <w:b/>
          <w:bCs/>
          <w:sz w:val="24"/>
          <w:szCs w:val="24"/>
        </w:rPr>
        <w:t xml:space="preserve">Precisión medida.</w:t>
      </w:r>
      <w:r>
        <w:rPr>
          <w:rFonts w:ascii="Times New Roman" w:cs="Times New Roman" w:eastAsia="Times New Roman" w:hAnsi="Times New Roman"/>
          <w:sz w:val="24"/>
          <w:szCs w:val="24"/>
        </w:rPr>
        <w:t xml:space="preserve"> Sobre una señal construida con habla entre los 500 y los 1 300 ms, el error de los límites detectados resulta </w:t>
      </w:r>
      <w:r>
        <w:rPr>
          <w:rFonts w:ascii="Times New Roman" w:cs="Times New Roman" w:eastAsia="Times New Roman" w:hAnsi="Times New Roman"/>
          <w:b/>
          <w:bCs/>
          <w:sz w:val="24"/>
          <w:szCs w:val="24"/>
        </w:rPr>
        <w:t xml:space="preserve">idéntico en los tres recintos</w:t>
      </w:r>
      <w:r>
        <w:rPr>
          <w:rFonts w:ascii="Times New Roman" w:cs="Times New Roman" w:eastAsia="Times New Roman" w:hAnsi="Times New Roman"/>
          <w:sz w:val="24"/>
          <w:szCs w:val="24"/>
        </w:rPr>
        <w:t xml:space="preserve"> —20 ms de adelanto en el inicio y 28 ms de retraso en el fin— pese a que el ruido de fondo varía en un factor de veinte. Es la comprobación de que la adaptación opera sobre el umbral sin degradar la precisión. Ambos sesgos se producen hacia afuera del segmento, por lo que el detector nunca recorta habla. El recorte del silencio reduce en un 58 % las muestras entregadas al reconocedor.</w:t>
      </w:r>
    </w:p>
    <w:p>
      <w:pPr>
        <w:spacing w:after="0" w:line="480"/>
        <w:ind w:firstLine="720"/>
        <w:jc w:val="both"/>
      </w:pPr>
      <w:r>
        <w:rPr>
          <w:rFonts w:ascii="Times New Roman" w:cs="Times New Roman" w:eastAsia="Times New Roman" w:hAnsi="Times New Roman"/>
          <w:b/>
          <w:bCs/>
          <w:sz w:val="24"/>
          <w:szCs w:val="24"/>
        </w:rPr>
        <w:t xml:space="preserve">Limitación conocida.</w:t>
      </w:r>
      <w:r>
        <w:rPr>
          <w:rFonts w:ascii="Times New Roman" w:cs="Times New Roman" w:eastAsia="Times New Roman" w:hAnsi="Times New Roman"/>
          <w:sz w:val="24"/>
          <w:szCs w:val="24"/>
        </w:rPr>
        <w:t xml:space="preserve"> Al fundarse en la energía, un ruido intenso y sostenido —ventilación próxima al micrófono, música de fondo— supera el umbral y se clasifica como habla. Discriminar voz de ruido de energía equivalente exige atender a la estructura espectral, mediante la tasa de cruces por cero o la periodicidad que el estimador de tono calculará en la Semana 5. Queda registrado para la fase de tratamiento de casos límite.</w:t>
      </w:r>
    </w:p>
    <w:p>
      <w:pPr>
        <w:spacing w:after="80" w:before="80" w:line="480"/>
        <w:ind w:left="720" w:right="720"/>
        <w:jc w:val="both"/>
      </w:pPr>
      <w:r>
        <w:rPr>
          <w:rFonts w:ascii="Times New Roman" w:cs="Times New Roman" w:eastAsia="Times New Roman" w:hAnsi="Times New Roman"/>
          <w:b/>
          <w:bCs/>
          <w:sz w:val="24"/>
          <w:szCs w:val="24"/>
        </w:rPr>
        <w:t xml:space="preserve">Secciones a completar para el documento final:</w:t>
      </w:r>
      <w:r>
        <w:rPr>
          <w:rFonts w:ascii="Times New Roman" w:cs="Times New Roman" w:eastAsia="Times New Roman" w:hAnsi="Times New Roman"/>
          <w:sz w:val="24"/>
          <w:szCs w:val="24"/>
        </w:rPr>
        <w:t xml:space="preserve"> MFCC y banco de filtros mel (Semana 5, Fabrizio), algoritmo YIN (Semana 5, Fabrizio), alineamiento temporal dinámico (Semana 6, Fabrizio), síntesis de voz y arquitectura de los modelos empleados (Semana 5, Isaac).</w:t>
      </w:r>
    </w:p>
    <w:p>
      <w:pPr>
        <w:sectPr>
          <w:headerReference w:type="default" r:id="rId7"/>
          <w:pgSz w:w="12240" w:h="15840" w:orient="portrait"/>
          <w:pgMar w:top="1440" w:right="1440" w:bottom="1440" w:left="1440" w:header="708" w:footer="708" w:gutter="0"/>
          <w:pgNumType/>
          <w:docGrid w:linePitch="360"/>
        </w:sectPr>
      </w:pPr>
    </w:p>
    <w:p>
      <w:pPr>
        <w:pStyle w:val="Heading1"/>
        <w:spacing w:after="0" w:before="240" w:line="480"/>
        <w:jc w:val="center"/>
      </w:pPr>
      <w:r>
        <w:rPr>
          <w:rFonts w:ascii="Times New Roman" w:cs="Times New Roman" w:eastAsia="Times New Roman" w:hAnsi="Times New Roman"/>
          <w:b/>
          <w:bCs/>
          <w:i w:val="false"/>
          <w:iCs w:val="false"/>
          <w:sz w:val="24"/>
          <w:szCs w:val="24"/>
        </w:rPr>
        <w:t xml:space="preserve">Matriz de trazabilidad de requerimientos</w:t>
      </w:r>
    </w:p>
    <w:p>
      <w:pPr>
        <w:spacing w:after="0" w:line="480"/>
        <w:ind w:firstLine="720"/>
        <w:jc w:val="both"/>
      </w:pPr>
      <w:r>
        <w:rPr>
          <w:rFonts w:ascii="Times New Roman" w:cs="Times New Roman" w:eastAsia="Times New Roman" w:hAnsi="Times New Roman"/>
          <w:sz w:val="24"/>
          <w:szCs w:val="24"/>
        </w:rPr>
        <w:t xml:space="preserve">Estado al cierre del Avance 1. La matriz completa y actualizada se mantiene en </w:t>
      </w:r>
      <w:r>
        <w:rPr>
          <w:rFonts w:ascii="Courier New" w:cs="Courier New" w:eastAsia="Courier New" w:hAnsi="Courier New"/>
          <w:sz w:val="22"/>
          <w:szCs w:val="22"/>
        </w:rPr>
        <w:t xml:space="preserve">docs/07-matriz-trazabilidad.md</w:t>
      </w:r>
      <w:r>
        <w:rPr>
          <w:rFonts w:ascii="Times New Roman" w:cs="Times New Roman" w:eastAsia="Times New Roman" w:hAnsi="Times New Roman"/>
          <w:sz w:val="24"/>
          <w:szCs w:val="24"/>
        </w:rPr>
        <w:t xml:space="preserve">.</w:t>
      </w:r>
    </w:p>
    <w:p>
      <w:pPr>
        <w:keepNext/>
        <w:spacing w:after="0" w:before="200" w:line="480"/>
      </w:pPr>
      <w:r>
        <w:rPr>
          <w:rFonts w:ascii="Times New Roman" w:cs="Times New Roman" w:eastAsia="Times New Roman" w:hAnsi="Times New Roman"/>
          <w:b/>
          <w:bCs/>
          <w:sz w:val="24"/>
          <w:szCs w:val="24"/>
        </w:rPr>
        <w:t xml:space="preserve">Tabla 14</w:t>
      </w:r>
    </w:p>
    <w:p>
      <w:pPr>
        <w:keepNext/>
        <w:spacing w:after="80" w:line="480"/>
      </w:pPr>
      <w:r>
        <w:rPr>
          <w:rFonts w:ascii="Times New Roman" w:cs="Times New Roman" w:eastAsia="Times New Roman" w:hAnsi="Times New Roman"/>
          <w:i/>
          <w:iCs/>
          <w:sz w:val="24"/>
          <w:szCs w:val="24"/>
        </w:rPr>
        <w:t xml:space="preserve">Matriz de trazabilidad de requerimientos funcionales</w:t>
      </w:r>
    </w:p>
    <w:tbl>
      <w:tblPr>
        <w:tblW w:type="dxa" w:w="12960"/>
        <w:tblBorders>
          <w:top w:val="single" w:color="000000" w:sz="6"/>
          <w:left w:val="none"/>
          <w:bottom w:val="single" w:color="000000" w:sz="6"/>
          <w:right w:val="none"/>
          <w:insideH w:val="none"/>
          <w:insideV w:val="none"/>
        </w:tblBorders>
      </w:tblPr>
      <w:tblGrid>
        <w:gridCol w:w="677"/>
        <w:gridCol w:w="2054"/>
        <w:gridCol w:w="978"/>
        <w:gridCol w:w="2084"/>
        <w:gridCol w:w="1401"/>
        <w:gridCol w:w="3217"/>
        <w:gridCol w:w="2549"/>
      </w:tblGrid>
      <w:tr>
        <w:trPr>
          <w:tblHeader/>
        </w:trPr>
        <w:tc>
          <w:tcPr>
            <w:tcW w:type="dxa" w:w="677"/>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ID</w:t>
            </w:r>
          </w:p>
        </w:tc>
        <w:tc>
          <w:tcPr>
            <w:tcW w:type="dxa" w:w="2054"/>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Requerimiento</w:t>
            </w:r>
          </w:p>
        </w:tc>
        <w:tc>
          <w:tcPr>
            <w:tcW w:type="dxa" w:w="978"/>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Prioridad</w:t>
            </w:r>
          </w:p>
        </w:tc>
        <w:tc>
          <w:tcPr>
            <w:tcW w:type="dxa" w:w="2084"/>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Módulo</w:t>
            </w:r>
          </w:p>
        </w:tc>
        <w:tc>
          <w:tcPr>
            <w:tcW w:type="dxa" w:w="1401"/>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Estado</w:t>
            </w:r>
          </w:p>
        </w:tc>
        <w:tc>
          <w:tcPr>
            <w:tcW w:type="dxa" w:w="3217"/>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Verificación</w:t>
            </w:r>
          </w:p>
        </w:tc>
        <w:tc>
          <w:tcPr>
            <w:tcW w:type="dxa" w:w="2549"/>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Métrica</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RF-01</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Captura de micrófono</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src/audio/capture</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Implementado</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Captura real integrada a la aplicación mediante </w:t>
            </w:r>
            <w:r>
              <w:rPr>
                <w:rFonts w:ascii="Times New Roman" w:cs="Times New Roman" w:eastAsia="Times New Roman" w:hAnsi="Times New Roman"/>
                <w:b w:val="false"/>
                <w:bCs w:val="false"/>
                <w:sz w:val="18"/>
                <w:szCs w:val="18"/>
              </w:rPr>
              <w:t xml:space="preserve">src/core/audioEngineAdapter.ts</w:t>
            </w:r>
            <w:r>
              <w:rPr>
                <w:rFonts w:ascii="Times New Roman" w:cs="Times New Roman" w:eastAsia="Times New Roman" w:hAnsi="Times New Roman"/>
                <w:b w:val="false"/>
                <w:bCs w:val="false"/>
                <w:sz w:val="18"/>
                <w:szCs w:val="18"/>
              </w:rPr>
              <w:t xml:space="preserve">; 7 pruebas del adaptador</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Rate detectado 48 kHz; decimación por factor entero 3 seleccionada en runtime</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RF-02</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Preprocesamiento: decimación, filtrado, normalización</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src/audio/dsp</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Implementado</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113 pruebas en </w:t>
            </w:r>
            <w:r>
              <w:rPr>
                <w:rFonts w:ascii="Times New Roman" w:cs="Times New Roman" w:eastAsia="Times New Roman" w:hAnsi="Times New Roman"/>
                <w:b w:val="false"/>
                <w:bCs w:val="false"/>
                <w:sz w:val="18"/>
                <w:szCs w:val="18"/>
              </w:rPr>
              <w:t xml:space="preserve">tests/audio/</w:t>
            </w:r>
            <w:r>
              <w:rPr>
                <w:rFonts w:ascii="Times New Roman" w:cs="Times New Roman" w:eastAsia="Times New Roman" w:hAnsi="Times New Roman"/>
                <w:b w:val="false"/>
                <w:bCs w:val="false"/>
                <w:sz w:val="18"/>
                <w:szCs w:val="18"/>
              </w:rPr>
              <w:t xml:space="preserve">, incluidas 27 de la FFT</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Factor entero 3; corte del filtro 7 200 Hz; 73.8 dB de atenuación de alias</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RF-03</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Visualización de forma de onda en tiempo real</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src/ui/visualizer</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Implementado</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Inspección visual con señal real y sintética</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Renderizado sobre requestAnimationFrame; objetivo 30 fps</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RF-04</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Reconocimiento de voz offline (Whisper)</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src/ai/asr</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Implementado en código; verificación en ejecución pendiente de la integración</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Spike con mediciones completas; worker con pruebas unitarias</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RTF 0.28–0.31; 41 MB en caché</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RF-05</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Corrección gramatical con resaltado</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src/ai/grammar</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val="false"/>
                <w:bCs w:val="false"/>
                <w:sz w:val="18"/>
                <w:szCs w:val="18"/>
              </w:rPr>
              <w:t xml:space="preserve">src/ui/chat</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Implementado en código; verificación en ejecución pendiente de la integración</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Spike del modelo ejecutado; resaltado y diferenciador con pruebas unitarias</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320 ms de latencia media; 6 de 8 frases corregidas</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RF-06</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Interfaz de chat con control de micrófono</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src/ui/chat</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Implementado</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Prueba manual del flujo completo</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Estados idle / grabando / procesando operativos</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RF-07</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Espectrograma en tiempo real</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src/audio/dsp</w:t>
            </w:r>
            <w:r>
              <w:rPr>
                <w:rFonts w:ascii="Times New Roman" w:cs="Times New Roman" w:eastAsia="Times New Roman" w:hAnsi="Times New Roman"/>
                <w:b w:val="false"/>
                <w:bCs w:val="false"/>
                <w:sz w:val="18"/>
                <w:szCs w:val="18"/>
              </w:rPr>
              <w:t xml:space="preserve"> + </w:t>
            </w:r>
            <w:r>
              <w:rPr>
                <w:rFonts w:ascii="Times New Roman" w:cs="Times New Roman" w:eastAsia="Times New Roman" w:hAnsi="Times New Roman"/>
                <w:b w:val="false"/>
                <w:bCs w:val="false"/>
                <w:sz w:val="18"/>
                <w:szCs w:val="18"/>
              </w:rPr>
              <w:t xml:space="preserve">src/ui</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Pendiente</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Planificado Semana 5</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RF-08</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Detección de frecuencia fundamental</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src/audio/features</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Pendiente</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Planificado Semana 5</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RF-09</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Extracción de MFCC</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src/audio/features</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Pendiente</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Planificado Semana 5</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RF-10</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Puntaje de pronunciación</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src/audio/comparator</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Pendiente</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Planificado Semana 6</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RF-11</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Síntesis de voz</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src/ai/tts</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Pendiente</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Planificado Semana 5</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RF-12</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Sugerencias de comunicación</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Media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src/ai/suggestions</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Pendiente</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Planificado Semana 6</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RF-13</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Conversación completa</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src/core/orchestrator</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Parcial</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Flujo end-to-end operativo con el motor de audio real y el canal de IA; 13 pruebas de núcleo</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Máquina de estados verificada; módulos simulados conservados como modo de respaldo (</w:t>
            </w:r>
            <w:r>
              <w:rPr>
                <w:rFonts w:ascii="Times New Roman" w:cs="Times New Roman" w:eastAsia="Times New Roman" w:hAnsi="Times New Roman"/>
                <w:b w:val="false"/>
                <w:bCs w:val="false"/>
                <w:sz w:val="18"/>
                <w:szCs w:val="18"/>
              </w:rPr>
              <w:t xml:space="preserve">?mock=1</w:t>
            </w:r>
            <w:r>
              <w:rPr>
                <w:rFonts w:ascii="Times New Roman" w:cs="Times New Roman" w:eastAsia="Times New Roman" w:hAnsi="Times New Roman"/>
                <w:b w:val="false"/>
                <w:bCs w:val="false"/>
                <w:sz w:val="18"/>
                <w:szCs w:val="18"/>
              </w:rPr>
              <w:t xml:space="preserve">)</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RF-14</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PWA instalable y offline</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src/core</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Parcial</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Service worker generado en build; verificación offline pendiente</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8 entradas en precaché</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RF-15</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Caché de modelos</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src/ai/model-cache</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Parcial</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Validado en spike</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Segunda carga 0.54 s desde caché</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RF-16</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Procesamiento íntegramente client-side</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Toda la aplicación</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Implementado</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Ausencia de backend; inspección de red</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Cero llamadas a servicios externos en inferencia</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RF-17</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Retroalimentación visual por colores</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src/ui</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Parcial</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Resaltado de gramática implementado</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Colores de pronunciación pendientes</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RF-18</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Documento técnico por entrega</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docs/entregas</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En curso</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Este documento</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Ocho secciones obligatorias</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RF-19</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Presentación y demostración</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En curso</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Ensayo cronometrado</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10–15 minutos</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RF-20</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Matriz de trazabilidad actualizada</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docs/07</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Implementado</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Revisión por hito</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23 requerimientos mapeados</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RF-21</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Verificación con métricas</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tests/</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Parcial</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151 pruebas automatizadas en integración continua (113 de audio, 21 de IA, 13 de núcleo, 4 de interfaz)</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WER formal planificado Semana 8</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RF-22</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Marco teórico con ecuaciones</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Alta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docs/09</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Parcial</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Muestreo, Nyquist y DFT completos</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Secciones restantes en Semanas 5 y 6</w:t>
            </w:r>
          </w:p>
        </w:tc>
      </w:tr>
      <w:tr>
        <w:trPr>
          <w:tblHeader w:val="false"/>
        </w:trPr>
        <w:tc>
          <w:tcPr>
            <w:tcW w:type="dxa" w:w="67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RF-23</w:t>
            </w:r>
          </w:p>
        </w:tc>
        <w:tc>
          <w:tcPr>
            <w:tcW w:type="dxa" w:w="20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Análisis de progreso del usuario</w:t>
            </w:r>
          </w:p>
        </w:tc>
        <w:tc>
          <w:tcPr>
            <w:tcW w:type="dxa" w:w="97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Baja</w:t>
            </w:r>
          </w:p>
        </w:tc>
        <w:tc>
          <w:tcPr>
            <w:tcW w:type="dxa" w:w="208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src/ui/progress</w:t>
            </w:r>
          </w:p>
        </w:tc>
        <w:tc>
          <w:tcPr>
            <w:tcW w:type="dxa" w:w="14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Pendiente</w:t>
            </w:r>
          </w:p>
        </w:tc>
        <w:tc>
          <w:tcPr>
            <w:tcW w:type="dxa" w:w="32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254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Planificado Semana 9</w:t>
            </w:r>
          </w:p>
        </w:tc>
      </w:tr>
    </w:tbl>
    <w:p>
      <w:pPr>
        <w:spacing w:line="240"/>
      </w:pPr>
      <w:r>
        <w:rPr>
          <w:rFonts w:ascii="Times New Roman" w:cs="Times New Roman" w:eastAsia="Times New Roman" w:hAnsi="Times New Roman"/>
          <w:sz w:val="24"/>
          <w:szCs w:val="24"/>
        </w:rPr>
        <w:t xml:space="preserve"/>
      </w:r>
    </w:p>
    <w:p>
      <w:pPr>
        <w:sectPr>
          <w:headerReference w:type="default" r:id="rId8"/>
          <w:pgSz w:w="15840" w:h="12240" w:orient="landscape"/>
          <w:pgMar w:top="1440" w:right="1440" w:bottom="1440" w:left="1440" w:header="708" w:footer="708" w:gutter="0"/>
          <w:pgNumType/>
          <w:docGrid w:linePitch="360"/>
        </w:sectPr>
      </w:pPr>
    </w:p>
    <w:p>
      <w:pPr>
        <w:pStyle w:val="Heading1"/>
        <w:spacing w:after="0" w:before="240" w:line="480"/>
        <w:jc w:val="center"/>
      </w:pPr>
      <w:r>
        <w:rPr>
          <w:rFonts w:ascii="Times New Roman" w:cs="Times New Roman" w:eastAsia="Times New Roman" w:hAnsi="Times New Roman"/>
          <w:b/>
          <w:bCs/>
          <w:i w:val="false"/>
          <w:iCs w:val="false"/>
          <w:sz w:val="24"/>
          <w:szCs w:val="24"/>
        </w:rPr>
        <w:t xml:space="preserve">Etapa de desarrollo y verificación de funcionalidades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Metodología</w:t>
      </w:r>
    </w:p>
    <w:p>
      <w:pPr>
        <w:spacing w:after="0" w:line="480"/>
        <w:ind w:firstLine="720"/>
        <w:jc w:val="both"/>
      </w:pPr>
      <w:r>
        <w:rPr>
          <w:rFonts w:ascii="Times New Roman" w:cs="Times New Roman" w:eastAsia="Times New Roman" w:hAnsi="Times New Roman"/>
          <w:sz w:val="24"/>
          <w:szCs w:val="24"/>
        </w:rPr>
        <w:t xml:space="preserve">El proyecto se ejecuta con un marco iterativo de sprints semanales alineados con las sesiones del curso. Cada sprint define objetivos, tareas con estimación y responsable, riesgos y evidencias esperadas. La planificación completa de las diez semanas está en </w:t>
      </w:r>
      <w:r>
        <w:rPr>
          <w:rFonts w:ascii="Courier New" w:cs="Courier New" w:eastAsia="Courier New" w:hAnsi="Courier New"/>
          <w:sz w:val="22"/>
          <w:szCs w:val="22"/>
        </w:rPr>
        <w:t xml:space="preserve">docs/04-plan-semanal.md</w:t>
      </w:r>
      <w:r>
        <w:rPr>
          <w:rFonts w:ascii="Times New Roman" w:cs="Times New Roman" w:eastAsia="Times New Roman" w:hAnsi="Times New Roman"/>
          <w:sz w:val="24"/>
          <w:szCs w:val="24"/>
        </w:rPr>
        <w:t xml:space="preserve">; el seguimiento se realiza mediante GitHub Projects e issues etiquetados por sprint.</w:t>
      </w:r>
    </w:p>
    <w:p>
      <w:pPr>
        <w:spacing w:after="0" w:line="480"/>
        <w:ind w:firstLine="720"/>
        <w:jc w:val="both"/>
      </w:pPr>
      <w:r>
        <w:rPr>
          <w:rFonts w:ascii="Times New Roman" w:cs="Times New Roman" w:eastAsia="Times New Roman" w:hAnsi="Times New Roman"/>
          <w:b/>
          <w:bCs/>
          <w:sz w:val="24"/>
          <w:szCs w:val="24"/>
        </w:rPr>
        <w:t xml:space="preserve">Gestión de la configuración.</w:t>
      </w:r>
      <w:r>
        <w:rPr>
          <w:rFonts w:ascii="Times New Roman" w:cs="Times New Roman" w:eastAsia="Times New Roman" w:hAnsi="Times New Roman"/>
          <w:sz w:val="24"/>
          <w:szCs w:val="24"/>
        </w:rPr>
        <w:t xml:space="preserve"> Se emplea un flujo de ramas con integración en </w:t>
      </w:r>
      <w:r>
        <w:rPr>
          <w:rFonts w:ascii="Courier New" w:cs="Courier New" w:eastAsia="Courier New" w:hAnsi="Courier New"/>
          <w:sz w:val="22"/>
          <w:szCs w:val="22"/>
        </w:rPr>
        <w:t xml:space="preserve">dev</w:t>
      </w:r>
      <w:r>
        <w:rPr>
          <w:rFonts w:ascii="Times New Roman" w:cs="Times New Roman" w:eastAsia="Times New Roman" w:hAnsi="Times New Roman"/>
          <w:sz w:val="24"/>
          <w:szCs w:val="24"/>
        </w:rPr>
        <w:t xml:space="preserve"> y publicación en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Ningún cambio entra directamente: todo pasa por pull request con revisión y con la verificación automática en verde. Los archivos compartidos (contratos y dependencias) requieren un pull request especial etiquetado </w:t>
      </w:r>
      <w:r>
        <w:rPr>
          <w:rFonts w:ascii="Courier New" w:cs="Courier New" w:eastAsia="Courier New" w:hAnsi="Courier New"/>
          <w:sz w:val="22"/>
          <w:szCs w:val="22"/>
        </w:rPr>
        <w:t xml:space="preserve">shared-change</w:t>
      </w:r>
      <w:r>
        <w:rPr>
          <w:rFonts w:ascii="Times New Roman" w:cs="Times New Roman" w:eastAsia="Times New Roman" w:hAnsi="Times New Roman"/>
          <w:sz w:val="24"/>
          <w:szCs w:val="24"/>
        </w:rPr>
        <w:t xml:space="preserve">, aprobado por el líder técnico y por el responsable del módulo afectado. Este mecanismo se ejerció en la Semana 3 para incorporar la dependencia del motor de inferencia.</w:t>
      </w:r>
    </w:p>
    <w:p>
      <w:pPr>
        <w:spacing w:after="0" w:line="480"/>
        <w:ind w:firstLine="720"/>
        <w:jc w:val="both"/>
      </w:pPr>
      <w:r>
        <w:rPr>
          <w:rFonts w:ascii="Times New Roman" w:cs="Times New Roman" w:eastAsia="Times New Roman" w:hAnsi="Times New Roman"/>
          <w:b/>
          <w:bCs/>
          <w:sz w:val="24"/>
          <w:szCs w:val="24"/>
        </w:rPr>
        <w:t xml:space="preserve">Integración continua.</w:t>
      </w:r>
      <w:r>
        <w:rPr>
          <w:rFonts w:ascii="Times New Roman" w:cs="Times New Roman" w:eastAsia="Times New Roman" w:hAnsi="Times New Roman"/>
          <w:sz w:val="24"/>
          <w:szCs w:val="24"/>
        </w:rPr>
        <w:t xml:space="preserve"> Cada pull request dispara un pipeline que ejecuta verificación de tipos, pruebas automatizadas y compilación de producción. La rama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despliega automáticamente la demostración pública.</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Estrategia de verificación</w:t>
      </w:r>
    </w:p>
    <w:p>
      <w:pPr>
        <w:keepNext/>
        <w:spacing w:after="0" w:before="200" w:line="480"/>
      </w:pPr>
      <w:r>
        <w:rPr>
          <w:rFonts w:ascii="Times New Roman" w:cs="Times New Roman" w:eastAsia="Times New Roman" w:hAnsi="Times New Roman"/>
          <w:b/>
          <w:bCs/>
          <w:sz w:val="24"/>
          <w:szCs w:val="24"/>
        </w:rPr>
        <w:t xml:space="preserve">Tabla 15</w:t>
      </w:r>
    </w:p>
    <w:p>
      <w:pPr>
        <w:keepNext/>
        <w:spacing w:after="80" w:line="480"/>
      </w:pPr>
      <w:r>
        <w:rPr>
          <w:rFonts w:ascii="Times New Roman" w:cs="Times New Roman" w:eastAsia="Times New Roman" w:hAnsi="Times New Roman"/>
          <w:i/>
          <w:iCs/>
          <w:sz w:val="24"/>
          <w:szCs w:val="24"/>
        </w:rPr>
        <w:t xml:space="preserve">Estrategia de verificación por niveles de prueba</w:t>
      </w:r>
    </w:p>
    <w:tbl>
      <w:tblPr>
        <w:tblW w:type="dxa" w:w="9360"/>
        <w:tblBorders>
          <w:top w:val="single" w:color="000000" w:sz="6"/>
          <w:left w:val="none"/>
          <w:bottom w:val="single" w:color="000000" w:sz="6"/>
          <w:right w:val="none"/>
          <w:insideH w:val="none"/>
          <w:insideV w:val="none"/>
        </w:tblBorders>
      </w:tblPr>
      <w:tblGrid>
        <w:gridCol w:w="1465"/>
        <w:gridCol w:w="5701"/>
        <w:gridCol w:w="2194"/>
      </w:tblGrid>
      <w:tr>
        <w:trPr>
          <w:tblHeader/>
        </w:trPr>
        <w:tc>
          <w:tcPr>
            <w:tcW w:type="dxa" w:w="1465"/>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Nivel</w:t>
            </w:r>
          </w:p>
        </w:tc>
        <w:tc>
          <w:tcPr>
            <w:tcW w:type="dxa" w:w="5701"/>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Método</w:t>
            </w:r>
          </w:p>
        </w:tc>
        <w:tc>
          <w:tcPr>
            <w:tcW w:type="dxa" w:w="2194"/>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Estado</w:t>
            </w:r>
          </w:p>
        </w:tc>
      </w:tr>
      <w:tr>
        <w:trPr>
          <w:tblHeader w:val="false"/>
        </w:trPr>
        <w:tc>
          <w:tcPr>
            <w:tcW w:type="dxa" w:w="146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Unitario</w:t>
            </w:r>
          </w:p>
        </w:tc>
        <w:tc>
          <w:tcPr>
            <w:tcW w:type="dxa" w:w="57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Pruebas sobre funciones puras: remuestreo y filtrado, ventanas y FFT, detección de actividad de voz, segmentación de correcciones, máquina de estados del orquestador, cumplimiento de contratos por los mocks</w:t>
            </w:r>
          </w:p>
        </w:tc>
        <w:tc>
          <w:tcPr>
            <w:tcW w:type="dxa" w:w="219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151 pruebas en verde</w:t>
            </w:r>
          </w:p>
        </w:tc>
      </w:tr>
      <w:tr>
        <w:trPr>
          <w:tblHeader w:val="false"/>
        </w:trPr>
        <w:tc>
          <w:tcPr>
            <w:tcW w:type="dxa" w:w="146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Integración</w:t>
            </w:r>
          </w:p>
        </w:tc>
        <w:tc>
          <w:tcPr>
            <w:tcW w:type="dxa" w:w="57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Flujo completo de un turno de conversación, con el motor de audio real y con los módulos simulados como respaldo</w:t>
            </w:r>
          </w:p>
        </w:tc>
        <w:tc>
          <w:tcPr>
            <w:tcW w:type="dxa" w:w="219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Verificado</w:t>
            </w:r>
          </w:p>
        </w:tc>
      </w:tr>
      <w:tr>
        <w:trPr>
          <w:tblHeader w:val="false"/>
        </w:trPr>
        <w:tc>
          <w:tcPr>
            <w:tcW w:type="dxa" w:w="146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Numérico</w:t>
            </w:r>
          </w:p>
        </w:tc>
        <w:tc>
          <w:tcPr>
            <w:tcW w:type="dxa" w:w="57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Comparación de implementaciones propias de DSP contra bibliotecas de referencia con señales sintéticas de parámetros conocidos</w:t>
            </w:r>
          </w:p>
        </w:tc>
        <w:tc>
          <w:tcPr>
            <w:tcW w:type="dxa" w:w="219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Planificado Semanas 5 y 6</w:t>
            </w:r>
          </w:p>
        </w:tc>
      </w:tr>
      <w:tr>
        <w:trPr>
          <w:tblHeader w:val="false"/>
        </w:trPr>
        <w:tc>
          <w:tcPr>
            <w:tcW w:type="dxa" w:w="146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Métrico</w:t>
            </w:r>
          </w:p>
        </w:tc>
        <w:tc>
          <w:tcPr>
            <w:tcW w:type="dxa" w:w="57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WER sobre conjunto de 50 frases con cuatro hablantes; latencia por etapa; fotogramas por segundo del visualizador</w:t>
            </w:r>
          </w:p>
        </w:tc>
        <w:tc>
          <w:tcPr>
            <w:tcW w:type="dxa" w:w="219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Planificado Semana 8</w:t>
            </w:r>
          </w:p>
        </w:tc>
      </w:tr>
      <w:tr>
        <w:trPr>
          <w:tblHeader w:val="false"/>
        </w:trPr>
        <w:tc>
          <w:tcPr>
            <w:tcW w:type="dxa" w:w="146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Casos límite</w:t>
            </w:r>
          </w:p>
        </w:tc>
        <w:tc>
          <w:tcPr>
            <w:tcW w:type="dxa" w:w="570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Ruido ambiental, acento marcado, locuciones largas, silencios, ausencia de permisos de micrófono</w:t>
            </w:r>
          </w:p>
        </w:tc>
        <w:tc>
          <w:tcPr>
            <w:tcW w:type="dxa" w:w="219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Manejo de permisos implementado; resto planificado Semana 8</w:t>
            </w:r>
          </w:p>
        </w:tc>
      </w:tr>
    </w:tbl>
    <w:p>
      <w:pPr>
        <w:spacing w:line="240"/>
      </w:pPr>
      <w:r>
        <w:rPr>
          <w:rFonts w:ascii="Times New Roman" w:cs="Times New Roman" w:eastAsia="Times New Roman" w:hAnsi="Times New Roman"/>
          <w:sz w:val="24"/>
          <w:szCs w:val="24"/>
        </w:rPr>
        <w:t xml:space="preserve"/>
      </w:r>
    </w:p>
    <w:p>
      <w:pPr>
        <w:pStyle w:val="Heading2"/>
        <w:spacing w:after="0" w:before="120" w:line="480"/>
        <w:jc w:val="left"/>
      </w:pPr>
      <w:r>
        <w:rPr>
          <w:rFonts w:ascii="Times New Roman" w:cs="Times New Roman" w:eastAsia="Times New Roman" w:hAnsi="Times New Roman"/>
          <w:b/>
          <w:bCs/>
          <w:i w:val="false"/>
          <w:iCs w:val="false"/>
          <w:sz w:val="24"/>
          <w:szCs w:val="24"/>
        </w:rPr>
        <w:t xml:space="preserve">Resultados del período</w:t>
      </w:r>
    </w:p>
    <w:p>
      <w:pPr>
        <w:spacing w:after="0" w:line="480"/>
        <w:ind w:firstLine="720"/>
        <w:jc w:val="both"/>
      </w:pPr>
      <w:r>
        <w:rPr>
          <w:rFonts w:ascii="Times New Roman" w:cs="Times New Roman" w:eastAsia="Times New Roman" w:hAnsi="Times New Roman"/>
          <w:b/>
          <w:bCs/>
          <w:sz w:val="24"/>
          <w:szCs w:val="24"/>
        </w:rPr>
        <w:t xml:space="preserve">Completado.</w:t>
      </w:r>
      <w:r>
        <w:rPr>
          <w:rFonts w:ascii="Times New Roman" w:cs="Times New Roman" w:eastAsia="Times New Roman" w:hAnsi="Times New Roman"/>
          <w:sz w:val="24"/>
          <w:szCs w:val="24"/>
        </w:rPr>
        <w:t xml:space="preserve"> Infraestructura del proyecto (repositorio, integración continua, estructura modular, contratos congelados); orquestador de conversación con inyección de dependencias y flujo end-to-end operativo sobre módulos simulados; módulo de interfaz con chat, control de micrófono con estados, visualización de forma de onda en tiempo real y resaltado de correcciones gramaticales; sonda de dispositivo de audio con determinación de la estrategia de remuestreo; validación experimental del reconocimiento de voz en el navegador con mediciones completas; marco teórico de muestreo, Nyquist y DFT; </w:t>
      </w:r>
      <w:r>
        <w:rPr>
          <w:rFonts w:ascii="Times New Roman" w:cs="Times New Roman" w:eastAsia="Times New Roman" w:hAnsi="Times New Roman"/>
          <w:b/>
          <w:bCs/>
          <w:sz w:val="24"/>
          <w:szCs w:val="24"/>
        </w:rPr>
        <w:t xml:space="preserve">cadena completa de procesamiento de audio, desde la captura hasta el análisis espectral</w:t>
      </w:r>
      <w:r>
        <w:rPr>
          <w:rFonts w:ascii="Times New Roman" w:cs="Times New Roman" w:eastAsia="Times New Roman" w:hAnsi="Times New Roman"/>
          <w:sz w:val="24"/>
          <w:szCs w:val="24"/>
        </w:rPr>
        <w:t xml:space="preserve">.</w:t>
      </w:r>
    </w:p>
    <w:p>
      <w:pPr>
        <w:spacing w:after="0" w:line="480"/>
        <w:ind w:firstLine="720"/>
        <w:jc w:val="both"/>
      </w:pPr>
      <w:r>
        <w:rPr>
          <w:rFonts w:ascii="Times New Roman" w:cs="Times New Roman" w:eastAsia="Times New Roman" w:hAnsi="Times New Roman"/>
          <w:b/>
          <w:bCs/>
          <w:sz w:val="24"/>
          <w:szCs w:val="24"/>
        </w:rPr>
        <w:t xml:space="preserve">Resultados del módulo de procesamiento de audio.</w:t>
      </w:r>
      <w:r>
        <w:rPr>
          <w:rFonts w:ascii="Times New Roman" w:cs="Times New Roman" w:eastAsia="Times New Roman" w:hAnsi="Times New Roman"/>
          <w:sz w:val="24"/>
          <w:szCs w:val="24"/>
        </w:rPr>
        <w:t xml:space="preserve"> La cadena quedó operativa en sus cuatro etapas —captura y remuestreo, preprocesamiento, detección de actividad de voz y análisis espectral— con las siguientes mediciones, obtenidas sobre señales sintéticas de frecuencia y amplitud conocidas y reproducibles mediante la suite de pruebas del repositorio:</w:t>
      </w:r>
    </w:p>
    <w:p>
      <w:pPr>
        <w:keepNext/>
        <w:spacing w:after="0" w:before="200" w:line="480"/>
      </w:pPr>
      <w:r>
        <w:rPr>
          <w:rFonts w:ascii="Times New Roman" w:cs="Times New Roman" w:eastAsia="Times New Roman" w:hAnsi="Times New Roman"/>
          <w:b/>
          <w:bCs/>
          <w:sz w:val="24"/>
          <w:szCs w:val="24"/>
        </w:rPr>
        <w:t xml:space="preserve">Tabla 16</w:t>
      </w:r>
    </w:p>
    <w:p>
      <w:pPr>
        <w:keepNext/>
        <w:spacing w:after="80" w:line="480"/>
      </w:pPr>
      <w:r>
        <w:rPr>
          <w:rFonts w:ascii="Times New Roman" w:cs="Times New Roman" w:eastAsia="Times New Roman" w:hAnsi="Times New Roman"/>
          <w:i/>
          <w:iCs/>
          <w:sz w:val="24"/>
          <w:szCs w:val="24"/>
        </w:rPr>
        <w:t xml:space="preserve">Resultados de las mediciones por etapa del sistema</w:t>
      </w:r>
    </w:p>
    <w:tbl>
      <w:tblPr>
        <w:tblW w:type="dxa" w:w="9360"/>
        <w:tblBorders>
          <w:top w:val="single" w:color="000000" w:sz="6"/>
          <w:left w:val="none"/>
          <w:bottom w:val="single" w:color="000000" w:sz="6"/>
          <w:right w:val="none"/>
          <w:insideH w:val="none"/>
          <w:insideV w:val="none"/>
        </w:tblBorders>
      </w:tblPr>
      <w:tblGrid>
        <w:gridCol w:w="2717"/>
        <w:gridCol w:w="3302"/>
        <w:gridCol w:w="3341"/>
      </w:tblGrid>
      <w:tr>
        <w:trPr>
          <w:tblHeader/>
        </w:trPr>
        <w:tc>
          <w:tcPr>
            <w:tcW w:type="dxa" w:w="2717"/>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Etapa</w:t>
            </w:r>
          </w:p>
        </w:tc>
        <w:tc>
          <w:tcPr>
            <w:tcW w:type="dxa" w:w="3302"/>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Medición</w:t>
            </w:r>
          </w:p>
        </w:tc>
        <w:tc>
          <w:tcPr>
            <w:tcW w:type="dxa" w:w="3341"/>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Resultado</w:t>
            </w:r>
          </w:p>
        </w:tc>
      </w:tr>
      <w:tr>
        <w:trPr>
          <w:tblHeader w:val="false"/>
        </w:trPr>
        <w:tc>
          <w:tcPr>
            <w:tcW w:type="dxa" w:w="27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Captura y remuestreo</w:t>
            </w:r>
          </w:p>
        </w:tc>
        <w:tc>
          <w:tcPr>
            <w:tcW w:type="dxa" w:w="330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Supresión del plegamiento espectral</w:t>
            </w:r>
          </w:p>
        </w:tc>
        <w:tc>
          <w:tcPr>
            <w:tcW w:type="dxa" w:w="334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73.8 dB de mejora frente a la decimación directa</w:t>
            </w:r>
          </w:p>
        </w:tc>
      </w:tr>
      <w:tr>
        <w:trPr>
          <w:tblHeader w:val="false"/>
        </w:trPr>
        <w:tc>
          <w:tcPr>
            <w:tcW w:type="dxa" w:w="27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Captura y remuestreo</w:t>
            </w:r>
          </w:p>
        </w:tc>
        <w:tc>
          <w:tcPr>
            <w:tcW w:type="dxa" w:w="330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Atenuación en el Nyquist destino</w:t>
            </w:r>
          </w:p>
        </w:tc>
        <w:tc>
          <w:tcPr>
            <w:tcW w:type="dxa" w:w="334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−44.6 dB</w:t>
            </w:r>
          </w:p>
        </w:tc>
      </w:tr>
      <w:tr>
        <w:trPr>
          <w:tblHeader w:val="false"/>
        </w:trPr>
        <w:tc>
          <w:tcPr>
            <w:tcW w:type="dxa" w:w="27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Captura y remuestreo</w:t>
            </w:r>
          </w:p>
        </w:tc>
        <w:tc>
          <w:tcPr>
            <w:tcW w:type="dxa" w:w="330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Retardo introducido por el filtro</w:t>
            </w:r>
          </w:p>
        </w:tc>
        <w:tc>
          <w:tcPr>
            <w:tcW w:type="dxa" w:w="334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1.31 ms</w:t>
            </w:r>
          </w:p>
        </w:tc>
      </w:tr>
      <w:tr>
        <w:trPr>
          <w:tblHeader w:val="false"/>
        </w:trPr>
        <w:tc>
          <w:tcPr>
            <w:tcW w:type="dxa" w:w="27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Preprocesamiento</w:t>
            </w:r>
          </w:p>
        </w:tc>
        <w:tc>
          <w:tcPr>
            <w:tcW w:type="dxa" w:w="330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Atenuación en la frecuencia de corte</w:t>
            </w:r>
          </w:p>
        </w:tc>
        <w:tc>
          <w:tcPr>
            <w:tcW w:type="dxa" w:w="334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−3.01 dB (Butterworth)</w:t>
            </w:r>
          </w:p>
        </w:tc>
      </w:tr>
      <w:tr>
        <w:trPr>
          <w:tblHeader w:val="false"/>
        </w:trPr>
        <w:tc>
          <w:tcPr>
            <w:tcW w:type="dxa" w:w="27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Preprocesamiento</w:t>
            </w:r>
          </w:p>
        </w:tc>
        <w:tc>
          <w:tcPr>
            <w:tcW w:type="dxa" w:w="330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Estabilidad del nivel de salida</w:t>
            </w:r>
          </w:p>
        </w:tc>
        <w:tc>
          <w:tcPr>
            <w:tcW w:type="dxa" w:w="334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Idéntico ante entradas con 60 veces de diferencia en amplitud</w:t>
            </w:r>
          </w:p>
        </w:tc>
      </w:tr>
      <w:tr>
        <w:trPr>
          <w:tblHeader w:val="false"/>
        </w:trPr>
        <w:tc>
          <w:tcPr>
            <w:tcW w:type="dxa" w:w="27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Detección de voz</w:t>
            </w:r>
          </w:p>
        </w:tc>
        <w:tc>
          <w:tcPr>
            <w:tcW w:type="dxa" w:w="330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Error de los límites del habla</w:t>
            </w:r>
          </w:p>
        </w:tc>
        <w:tc>
          <w:tcPr>
            <w:tcW w:type="dxa" w:w="334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20 ms de adelanto, 28 ms de retraso, invariante ante 20 veces más ruido</w:t>
            </w:r>
          </w:p>
        </w:tc>
      </w:tr>
      <w:tr>
        <w:trPr>
          <w:tblHeader w:val="false"/>
        </w:trPr>
        <w:tc>
          <w:tcPr>
            <w:tcW w:type="dxa" w:w="27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Detección de voz</w:t>
            </w:r>
          </w:p>
        </w:tc>
        <w:tc>
          <w:tcPr>
            <w:tcW w:type="dxa" w:w="330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Reducción de muestras al reconocedor</w:t>
            </w:r>
          </w:p>
        </w:tc>
        <w:tc>
          <w:tcPr>
            <w:tcW w:type="dxa" w:w="334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58 %</w:t>
            </w:r>
          </w:p>
        </w:tc>
      </w:tr>
      <w:tr>
        <w:trPr>
          <w:tblHeader w:val="false"/>
        </w:trPr>
        <w:tc>
          <w:tcPr>
            <w:tcW w:type="dxa" w:w="27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Análisis espectral</w:t>
            </w:r>
          </w:p>
        </w:tc>
        <w:tc>
          <w:tcPr>
            <w:tcW w:type="dxa" w:w="330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Exactitud frente a la DFT por definición</w:t>
            </w:r>
          </w:p>
        </w:tc>
        <w:tc>
          <w:tcPr>
            <w:tcW w:type="dxa" w:w="334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Error relativo de 1.45 × 10⁻¹³</w:t>
            </w:r>
          </w:p>
        </w:tc>
      </w:tr>
      <w:tr>
        <w:trPr>
          <w:tblHeader w:val="false"/>
        </w:trPr>
        <w:tc>
          <w:tcPr>
            <w:tcW w:type="dxa" w:w="27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Análisis espectral</w:t>
            </w:r>
          </w:p>
        </w:tc>
        <w:tc>
          <w:tcPr>
            <w:tcW w:type="dxa" w:w="330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Costo computacional</w:t>
            </w:r>
          </w:p>
        </w:tc>
        <w:tc>
          <w:tcPr>
            <w:tcW w:type="dxa" w:w="334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1 145 veces más rápido que el cálculo directo</w:t>
            </w:r>
          </w:p>
        </w:tc>
      </w:tr>
      <w:tr>
        <w:trPr>
          <w:tblHeader w:val="false"/>
        </w:trPr>
        <w:tc>
          <w:tcPr>
            <w:tcW w:type="dxa" w:w="2717"/>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Análisis espectral</w:t>
            </w:r>
          </w:p>
        </w:tc>
        <w:tc>
          <w:tcPr>
            <w:tcW w:type="dxa" w:w="330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Consumo en régimen</w:t>
            </w:r>
          </w:p>
        </w:tc>
        <w:tc>
          <w:tcPr>
            <w:tcW w:type="dxa" w:w="3341"/>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0.06 % de un núcleo</w:t>
            </w:r>
          </w:p>
        </w:tc>
      </w:tr>
    </w:tbl>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La arquitectura separa el procesamiento del hilo de audio en tiempo real: el </w:t>
      </w:r>
      <w:r>
        <w:rPr>
          <w:rFonts w:ascii="Courier New" w:cs="Courier New" w:eastAsia="Courier New" w:hAnsi="Courier New"/>
          <w:sz w:val="22"/>
          <w:szCs w:val="22"/>
        </w:rPr>
        <w:t xml:space="preserve">AudioWorklet</w:t>
      </w:r>
      <w:r>
        <w:rPr>
          <w:rFonts w:ascii="Times New Roman" w:cs="Times New Roman" w:eastAsia="Times New Roman" w:hAnsi="Times New Roman"/>
          <w:sz w:val="24"/>
          <w:szCs w:val="24"/>
        </w:rPr>
        <w:t xml:space="preserve"> se limita a acumular y transferir muestras, mientras que el filtrado, el remuestreo y la transformada se ejecutan en el hilo principal sobre funciones puras. La decisión tiene una consecuencia metodológica relevante: </w:t>
      </w:r>
      <w:r>
        <w:rPr>
          <w:rFonts w:ascii="Times New Roman" w:cs="Times New Roman" w:eastAsia="Times New Roman" w:hAnsi="Times New Roman"/>
          <w:b/>
          <w:bCs/>
          <w:sz w:val="24"/>
          <w:szCs w:val="24"/>
        </w:rPr>
        <w:t xml:space="preserve">todo el procesamiento de señales resulta verificable fuera del navegador</w:t>
      </w:r>
      <w:r>
        <w:rPr>
          <w:rFonts w:ascii="Times New Roman" w:cs="Times New Roman" w:eastAsia="Times New Roman" w:hAnsi="Times New Roman"/>
          <w:sz w:val="24"/>
          <w:szCs w:val="24"/>
        </w:rPr>
        <w:t xml:space="preserve">, lo que permitió construir 113 pruebas automatizadas del módulo de audio —de un total de 151 en el proyecto— que se ejecutan en la integración continua sin requerir micrófono ni intervención manual.</w:t>
      </w:r>
    </w:p>
    <w:p>
      <w:pPr>
        <w:spacing w:after="0" w:line="480"/>
        <w:ind w:firstLine="720"/>
        <w:jc w:val="both"/>
      </w:pPr>
      <w:r>
        <w:rPr>
          <w:rFonts w:ascii="Times New Roman" w:cs="Times New Roman" w:eastAsia="Times New Roman" w:hAnsi="Times New Roman"/>
          <w:b/>
          <w:bCs/>
          <w:sz w:val="24"/>
          <w:szCs w:val="24"/>
        </w:rPr>
        <w:t xml:space="preserve">Integración de los módulos reales.</w:t>
      </w:r>
      <w:r>
        <w:rPr>
          <w:rFonts w:ascii="Times New Roman" w:cs="Times New Roman" w:eastAsia="Times New Roman" w:hAnsi="Times New Roman"/>
          <w:sz w:val="24"/>
          <w:szCs w:val="24"/>
        </w:rPr>
        <w:t xml:space="preserve"> Al cierre del avance, el adaptador </w:t>
      </w:r>
      <w:r>
        <w:rPr>
          <w:rFonts w:ascii="Courier New" w:cs="Courier New" w:eastAsia="Courier New" w:hAnsi="Courier New"/>
          <w:sz w:val="22"/>
          <w:szCs w:val="22"/>
        </w:rPr>
        <w:t xml:space="preserve">src/core/audioEngineAdapter.ts</w:t>
      </w:r>
      <w:r>
        <w:rPr>
          <w:rFonts w:ascii="Times New Roman" w:cs="Times New Roman" w:eastAsia="Times New Roman" w:hAnsi="Times New Roman"/>
          <w:sz w:val="24"/>
          <w:szCs w:val="24"/>
        </w:rPr>
        <w:t xml:space="preserve"> sustituyó la implementación simulada del motor de audio por la cadena real de procesamiento, sin modificar el orquestador ni la interfaz: el cambio consistió en una línea de composición, tal como preveía el diseño por contratos. Los módulos simulados se conservan como modo de respaldo, accesible mediante el parámetro </w:t>
      </w:r>
      <w:r>
        <w:rPr>
          <w:rFonts w:ascii="Courier New" w:cs="Courier New" w:eastAsia="Courier New" w:hAnsi="Courier New"/>
          <w:sz w:val="22"/>
          <w:szCs w:val="22"/>
        </w:rPr>
        <w:t xml:space="preserve">?mock=1</w:t>
      </w:r>
      <w:r>
        <w:rPr>
          <w:rFonts w:ascii="Times New Roman" w:cs="Times New Roman" w:eastAsia="Times New Roman" w:hAnsi="Times New Roman"/>
          <w:sz w:val="24"/>
          <w:szCs w:val="24"/>
        </w:rPr>
        <w:t xml:space="preserve">, para poder demostrar el flujo completo aunque no haya micrófono disponible.</w:t>
      </w:r>
    </w:p>
    <w:p>
      <w:pPr>
        <w:spacing w:after="0" w:line="480"/>
        <w:ind w:firstLine="720"/>
        <w:jc w:val="both"/>
      </w:pPr>
      <w:r>
        <w:rPr>
          <w:rFonts w:ascii="Times New Roman" w:cs="Times New Roman" w:eastAsia="Times New Roman" w:hAnsi="Times New Roman"/>
          <w:b/>
          <w:bCs/>
          <w:sz w:val="24"/>
          <w:szCs w:val="24"/>
        </w:rPr>
        <w:t xml:space="preserve">En curso.</w:t>
      </w:r>
      <w:r>
        <w:rPr>
          <w:rFonts w:ascii="Times New Roman" w:cs="Times New Roman" w:eastAsia="Times New Roman" w:hAnsi="Times New Roman"/>
          <w:sz w:val="24"/>
          <w:szCs w:val="24"/>
        </w:rPr>
        <w:t xml:space="preserve"> Verificación en ejecución del canal de inteligencia artificial con los modelos reales; extracción de MFCC y detección de frecuencia fundamental.</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Incidencias y decisiones de gestión</w:t>
      </w:r>
    </w:p>
    <w:p>
      <w:pPr>
        <w:keepNext/>
        <w:spacing w:after="0" w:before="200" w:line="480"/>
      </w:pPr>
      <w:r>
        <w:rPr>
          <w:rFonts w:ascii="Times New Roman" w:cs="Times New Roman" w:eastAsia="Times New Roman" w:hAnsi="Times New Roman"/>
          <w:b/>
          <w:bCs/>
          <w:sz w:val="24"/>
          <w:szCs w:val="24"/>
        </w:rPr>
        <w:t xml:space="preserve">Tabla 17</w:t>
      </w:r>
    </w:p>
    <w:p>
      <w:pPr>
        <w:keepNext/>
        <w:spacing w:after="80" w:line="480"/>
      </w:pPr>
      <w:r>
        <w:rPr>
          <w:rFonts w:ascii="Times New Roman" w:cs="Times New Roman" w:eastAsia="Times New Roman" w:hAnsi="Times New Roman"/>
          <w:i/>
          <w:iCs/>
          <w:sz w:val="24"/>
          <w:szCs w:val="24"/>
        </w:rPr>
        <w:t xml:space="preserve">Incidencias registradas durante el desarrollo y decisiones adoptadas</w:t>
      </w:r>
    </w:p>
    <w:tbl>
      <w:tblPr>
        <w:tblW w:type="dxa" w:w="9360"/>
        <w:tblBorders>
          <w:top w:val="single" w:color="000000" w:sz="6"/>
          <w:left w:val="none"/>
          <w:bottom w:val="single" w:color="000000" w:sz="6"/>
          <w:right w:val="none"/>
          <w:insideH w:val="none"/>
          <w:insideV w:val="none"/>
        </w:tblBorders>
      </w:tblPr>
      <w:tblGrid>
        <w:gridCol w:w="3298"/>
        <w:gridCol w:w="6062"/>
      </w:tblGrid>
      <w:tr>
        <w:trPr>
          <w:tblHeader/>
        </w:trPr>
        <w:tc>
          <w:tcPr>
            <w:tcW w:type="dxa" w:w="3298"/>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Incidencia</w:t>
            </w:r>
          </w:p>
        </w:tc>
        <w:tc>
          <w:tcPr>
            <w:tcW w:type="dxa" w:w="6062"/>
            <w:tcBorders>
              <w:bottom w:val="single" w:color="000000" w:sz="6"/>
            </w:tcBorders>
            <w:shd w:fill="FFFFFF"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Decisión</w:t>
            </w:r>
          </w:p>
        </w:tc>
      </w:tr>
      <w:tr>
        <w:trPr>
          <w:tblHeader w:val="false"/>
        </w:trPr>
        <w:tc>
          <w:tcPr>
            <w:tcW w:type="dxa" w:w="329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El micrófono no permite negociar la frecuencia de muestreo</w:t>
            </w:r>
          </w:p>
        </w:tc>
        <w:tc>
          <w:tcPr>
            <w:tcW w:type="dxa" w:w="606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Implementar decimación explícita con filtro anti-aliasing en lugar de delegar en el navegador. La decisión además aporta evidencia directa del curso</w:t>
            </w:r>
          </w:p>
        </w:tc>
      </w:tr>
      <w:tr>
        <w:trPr>
          <w:tblHeader w:val="false"/>
        </w:trPr>
        <w:tc>
          <w:tcPr>
            <w:tcW w:type="dxa" w:w="329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La versión actual del motor de inferencia es una mayor superior a la validada</w:t>
            </w:r>
          </w:p>
        </w:tc>
        <w:tc>
          <w:tcPr>
            <w:tcW w:type="dxa" w:w="606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Fijar la versión a la rama validada experimentalmente, para preservar la correspondencia entre el código y las mediciones documentadas</w:t>
            </w:r>
          </w:p>
        </w:tc>
      </w:tr>
      <w:tr>
        <w:trPr>
          <w:tblHeader w:val="false"/>
        </w:trPr>
        <w:tc>
          <w:tcPr>
            <w:tcW w:type="dxa" w:w="329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Consumo de memoria de un solo modelo cercano a 290 MB</w:t>
            </w:r>
          </w:p>
        </w:tc>
        <w:tc>
          <w:tcPr>
            <w:tcW w:type="dxa" w:w="606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Registrado como riesgo; se medirá el consumo agregado al incorporar los modelos restantes y se evaluará carga bajo demanda</w:t>
            </w:r>
          </w:p>
        </w:tc>
      </w:tr>
      <w:tr>
        <w:trPr>
          <w:tblHeader w:val="false"/>
        </w:trPr>
        <w:tc>
          <w:tcPr>
            <w:tcW w:type="dxa" w:w="329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La descarga inicial acumulada asciende a unos 300 MB (reconocedor, corrector y runtime)</w:t>
            </w:r>
          </w:p>
        </w:tc>
        <w:tc>
          <w:tcPr>
            <w:tcW w:type="dxa" w:w="606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 descartó la reducción de cuantización como solución: el estudio q8/q4 demuestra que en este entorno degrada latencia y aumenta tamaño. Para el Avance 1 se conserva la configuración medida y se adoptan dos medidas: carga bajo demanda del corrector, de modo que la primera interacción dependa únicamente del reconocedor, y evaluación de un modelo de corrección de menor tamaño en la fase de optimización</w:t>
            </w:r>
          </w:p>
        </w:tc>
      </w:tr>
      <w:tr>
        <w:trPr>
          <w:tblHeader w:val="false"/>
        </w:trPr>
        <w:tc>
          <w:tcPr>
            <w:tcW w:type="dxa" w:w="329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El clasificador de ediciones etiquetaba errores de concordancia sujeto-verbo como errores ortográficos por similitud de las palabras</w:t>
            </w:r>
          </w:p>
        </w:tc>
        <w:tc>
          <w:tcPr>
            <w:tcW w:type="dxa" w:w="606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Corregido mediante reglas de palabras funcionales y de número; cobertura de pruebas ampliada</w:t>
            </w:r>
          </w:p>
        </w:tc>
      </w:tr>
    </w:tbl>
    <w:p>
      <w:pPr>
        <w:spacing w:line="240"/>
      </w:pPr>
      <w:r>
        <w:rPr>
          <w:rFonts w:ascii="Times New Roman" w:cs="Times New Roman" w:eastAsia="Times New Roman" w:hAnsi="Times New Roman"/>
          <w:sz w:val="24"/>
          <w:szCs w:val="24"/>
        </w:rPr>
        <w:t xml:space="preserve"/>
      </w:r>
    </w:p>
    <w:p>
      <w:pPr>
        <w:pStyle w:val="Heading1"/>
        <w:spacing w:after="0" w:before="240" w:line="480"/>
        <w:jc w:val="center"/>
      </w:pPr>
      <w:r>
        <w:rPr>
          <w:rFonts w:ascii="Times New Roman" w:cs="Times New Roman" w:eastAsia="Times New Roman" w:hAnsi="Times New Roman"/>
          <w:b/>
          <w:bCs/>
          <w:i w:val="false"/>
          <w:iCs w:val="false"/>
          <w:sz w:val="24"/>
          <w:szCs w:val="24"/>
        </w:rPr>
        <w:t xml:space="preserve">Anexos</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Apéndice A: Diagramas</w:t>
      </w:r>
    </w:p>
    <w:p>
      <w:pPr>
        <w:spacing w:after="0" w:line="480"/>
        <w:ind w:firstLine="720"/>
        <w:jc w:val="both"/>
      </w:pPr>
      <w:r>
        <w:rPr>
          <w:rFonts w:ascii="Times New Roman" w:cs="Times New Roman" w:eastAsia="Times New Roman" w:hAnsi="Times New Roman"/>
          <w:sz w:val="24"/>
          <w:szCs w:val="24"/>
        </w:rPr>
        <w:t xml:space="preserve">Diagrama de bloques de la arquitectura (sección 3.2). Diagrama de Gantt del proyecto y ruta crítica en </w:t>
      </w:r>
      <w:r>
        <w:rPr>
          <w:rFonts w:ascii="Courier New" w:cs="Courier New" w:eastAsia="Courier New" w:hAnsi="Courier New"/>
          <w:sz w:val="22"/>
          <w:szCs w:val="22"/>
        </w:rPr>
        <w:t xml:space="preserve">docs/05-roadmap.md</w:t>
      </w:r>
      <w:r>
        <w:rPr>
          <w:rFonts w:ascii="Times New Roman" w:cs="Times New Roman" w:eastAsia="Times New Roman" w:hAnsi="Times New Roman"/>
          <w:sz w:val="24"/>
          <w:szCs w:val="24"/>
        </w:rPr>
        <w:t xml:space="preserve">.</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Apéndice B: Evidencias experimentales</w:t>
      </w:r>
    </w:p>
    <w:p>
      <w:pPr>
        <w:pStyle w:val="ListParagraph"/>
        <w:numPr>
          <w:ilvl w:val="0"/>
          <w:numId w:val="1"/>
        </w:numPr>
        <w:spacing w:after="0" w:line="480"/>
        <w:jc w:val="both"/>
      </w:pPr>
      <w:r>
        <w:rPr>
          <w:rFonts w:ascii="Courier New" w:cs="Courier New" w:eastAsia="Courier New" w:hAnsi="Courier New"/>
          <w:sz w:val="22"/>
          <w:szCs w:val="22"/>
        </w:rPr>
        <w:t xml:space="preserve">docs/evidencias/s1/captura-audio-spike.md</w:t>
      </w:r>
      <w:r>
        <w:rPr>
          <w:rFonts w:ascii="Times New Roman" w:cs="Times New Roman" w:eastAsia="Times New Roman" w:hAnsi="Times New Roman"/>
          <w:sz w:val="24"/>
          <w:szCs w:val="24"/>
        </w:rPr>
        <w:t xml:space="preserve"> — Sonda de dispositivo de audio: frecuencias soportadas y estrategia de remuestreo.</w:t>
      </w:r>
    </w:p>
    <w:p>
      <w:pPr>
        <w:pStyle w:val="ListParagraph"/>
        <w:numPr>
          <w:ilvl w:val="0"/>
          <w:numId w:val="1"/>
        </w:numPr>
        <w:spacing w:after="0" w:line="480"/>
        <w:jc w:val="both"/>
      </w:pPr>
      <w:r>
        <w:rPr>
          <w:rFonts w:ascii="Courier New" w:cs="Courier New" w:eastAsia="Courier New" w:hAnsi="Courier New"/>
          <w:sz w:val="22"/>
          <w:szCs w:val="22"/>
        </w:rPr>
        <w:t xml:space="preserve">docs/evidencias/s1/whisper-tiny-spike.md</w:t>
      </w:r>
      <w:r>
        <w:rPr>
          <w:rFonts w:ascii="Times New Roman" w:cs="Times New Roman" w:eastAsia="Times New Roman" w:hAnsi="Times New Roman"/>
          <w:sz w:val="24"/>
          <w:szCs w:val="24"/>
        </w:rPr>
        <w:t xml:space="preserve"> — Reconocimiento de voz en el navegador: tamaño, tiempos de carga, latencia y precisión cualitativa.</w:t>
      </w:r>
    </w:p>
    <w:p>
      <w:pPr>
        <w:pStyle w:val="ListParagraph"/>
        <w:numPr>
          <w:ilvl w:val="0"/>
          <w:numId w:val="1"/>
        </w:numPr>
        <w:spacing w:after="0" w:line="480"/>
        <w:jc w:val="both"/>
      </w:pPr>
      <w:r>
        <w:rPr>
          <w:rFonts w:ascii="Courier New" w:cs="Courier New" w:eastAsia="Courier New" w:hAnsi="Courier New"/>
          <w:sz w:val="22"/>
          <w:szCs w:val="22"/>
        </w:rPr>
        <w:t xml:space="preserve">docs/evidencias/s2/s2-t1-remuestreo.md</w:t>
      </w:r>
      <w:r>
        <w:rPr>
          <w:rFonts w:ascii="Times New Roman" w:cs="Times New Roman" w:eastAsia="Times New Roman" w:hAnsi="Times New Roman"/>
          <w:sz w:val="24"/>
          <w:szCs w:val="24"/>
        </w:rPr>
        <w:t xml:space="preserve"> — Captura y remuestreo a 16 kHz: respuesta del filtro anti-aliasing y verificación del plegamiento espectral.</w:t>
      </w:r>
    </w:p>
    <w:p>
      <w:pPr>
        <w:pStyle w:val="ListParagraph"/>
        <w:numPr>
          <w:ilvl w:val="0"/>
          <w:numId w:val="1"/>
        </w:numPr>
        <w:spacing w:after="0" w:line="480"/>
        <w:jc w:val="both"/>
      </w:pPr>
      <w:r>
        <w:rPr>
          <w:rFonts w:ascii="Courier New" w:cs="Courier New" w:eastAsia="Courier New" w:hAnsi="Courier New"/>
          <w:sz w:val="22"/>
          <w:szCs w:val="22"/>
        </w:rPr>
        <w:t xml:space="preserve">docs/evidencias/s2/s2-t2-preprocesamiento.md</w:t>
      </w:r>
      <w:r>
        <w:rPr>
          <w:rFonts w:ascii="Times New Roman" w:cs="Times New Roman" w:eastAsia="Times New Roman" w:hAnsi="Times New Roman"/>
          <w:sz w:val="24"/>
          <w:szCs w:val="24"/>
        </w:rPr>
        <w:t xml:space="preserve"> — Pasa-banda de voz y normalización por valor eficaz: respuesta en frecuencia y estabilidad del nivel.</w:t>
      </w:r>
    </w:p>
    <w:p>
      <w:pPr>
        <w:pStyle w:val="ListParagraph"/>
        <w:numPr>
          <w:ilvl w:val="0"/>
          <w:numId w:val="1"/>
        </w:numPr>
        <w:spacing w:after="0" w:line="480"/>
        <w:jc w:val="both"/>
      </w:pPr>
      <w:r>
        <w:rPr>
          <w:rFonts w:ascii="Courier New" w:cs="Courier New" w:eastAsia="Courier New" w:hAnsi="Courier New"/>
          <w:sz w:val="22"/>
          <w:szCs w:val="22"/>
        </w:rPr>
        <w:t xml:space="preserve">docs/evidencias/s2/s2-t3-vad.md</w:t>
      </w:r>
      <w:r>
        <w:rPr>
          <w:rFonts w:ascii="Times New Roman" w:cs="Times New Roman" w:eastAsia="Times New Roman" w:hAnsi="Times New Roman"/>
          <w:sz w:val="24"/>
          <w:szCs w:val="24"/>
        </w:rPr>
        <w:t xml:space="preserve"> — Detección de actividad de voz: umbrales adaptativos y precisión de los límites.</w:t>
      </w:r>
    </w:p>
    <w:p>
      <w:pPr>
        <w:pStyle w:val="ListParagraph"/>
        <w:numPr>
          <w:ilvl w:val="0"/>
          <w:numId w:val="1"/>
        </w:numPr>
        <w:spacing w:after="0" w:line="480"/>
        <w:jc w:val="both"/>
      </w:pPr>
      <w:r>
        <w:rPr>
          <w:rFonts w:ascii="Courier New" w:cs="Courier New" w:eastAsia="Courier New" w:hAnsi="Courier New"/>
          <w:sz w:val="22"/>
          <w:szCs w:val="22"/>
        </w:rPr>
        <w:t xml:space="preserve">docs/evidencias/s3/s3-t1-fft-stft.md</w:t>
      </w:r>
      <w:r>
        <w:rPr>
          <w:rFonts w:ascii="Times New Roman" w:cs="Times New Roman" w:eastAsia="Times New Roman" w:hAnsi="Times New Roman"/>
          <w:sz w:val="24"/>
          <w:szCs w:val="24"/>
        </w:rPr>
        <w:t xml:space="preserve"> — FFT y STFT: tabla de error frente a la DFT por definición, costo computacional y fuga espectral por ventana.</w:t>
      </w:r>
    </w:p>
    <w:p>
      <w:pPr>
        <w:pStyle w:val="ListParagraph"/>
        <w:numPr>
          <w:ilvl w:val="0"/>
          <w:numId w:val="1"/>
        </w:numPr>
        <w:spacing w:after="0" w:line="480"/>
        <w:jc w:val="both"/>
      </w:pPr>
      <w:r>
        <w:rPr>
          <w:rFonts w:ascii="Courier New" w:cs="Courier New" w:eastAsia="Courier New" w:hAnsi="Courier New"/>
          <w:sz w:val="22"/>
          <w:szCs w:val="22"/>
        </w:rPr>
        <w:t xml:space="preserve">docs/evidencias/s3/ui-chat-waveform.md</w:t>
      </w:r>
      <w:r>
        <w:rPr>
          <w:rFonts w:ascii="Times New Roman" w:cs="Times New Roman" w:eastAsia="Times New Roman" w:hAnsi="Times New Roman"/>
          <w:sz w:val="24"/>
          <w:szCs w:val="24"/>
        </w:rPr>
        <w:t xml:space="preserve"> — Módulo de interfaz: decisiones de implementación y verificación.</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Apéndice C: Aplicación desplegada y verificación en ejecución</w:t>
      </w:r>
    </w:p>
    <w:p>
      <w:pPr>
        <w:spacing w:after="0" w:line="480"/>
        <w:ind w:firstLine="720"/>
        <w:jc w:val="both"/>
      </w:pPr>
      <w:r>
        <w:rPr>
          <w:rFonts w:ascii="Times New Roman" w:cs="Times New Roman" w:eastAsia="Times New Roman" w:hAnsi="Times New Roman"/>
          <w:sz w:val="24"/>
          <w:szCs w:val="24"/>
        </w:rPr>
        <w:t xml:space="preserve">La aplicación está publicada y es verificable en ejecución en </w:t>
      </w:r>
      <w:r>
        <w:rPr>
          <w:rFonts w:ascii="Courier New" w:cs="Courier New" w:eastAsia="Courier New" w:hAnsi="Courier New"/>
          <w:sz w:val="22"/>
          <w:szCs w:val="22"/>
        </w:rPr>
        <w:t xml:space="preserve">https://humanoidcat.github.io/mpet/</w:t>
      </w:r>
      <w:r>
        <w:rPr>
          <w:rFonts w:ascii="Times New Roman" w:cs="Times New Roman" w:eastAsia="Times New Roman" w:hAnsi="Times New Roman"/>
          <w:sz w:val="24"/>
          <w:szCs w:val="24"/>
        </w:rPr>
        <w:t xml:space="preserve">. El despliegue se realiza automáticamente desde la rama </w:t>
      </w:r>
      <w:r>
        <w:rPr>
          <w:rFonts w:ascii="Courier New" w:cs="Courier New" w:eastAsia="Courier New" w:hAnsi="Courier New"/>
          <w:sz w:val="22"/>
          <w:szCs w:val="22"/>
        </w:rPr>
        <w:t xml:space="preserve">main</w:t>
      </w:r>
      <w:r>
        <w:rPr>
          <w:rFonts w:ascii="Times New Roman" w:cs="Times New Roman" w:eastAsia="Times New Roman" w:hAnsi="Times New Roman"/>
          <w:sz w:val="24"/>
          <w:szCs w:val="24"/>
        </w:rPr>
        <w:t xml:space="preserve"> al superar la verificación continua, de modo que la versión publicada corresponde siempre al último estado aprobado del repositorio.</w:t>
      </w:r>
    </w:p>
    <w:p>
      <w:pPr>
        <w:spacing w:after="0" w:line="480"/>
        <w:ind w:firstLine="720"/>
        <w:jc w:val="both"/>
      </w:pPr>
      <w:r>
        <w:rPr>
          <w:rFonts w:ascii="Times New Roman" w:cs="Times New Roman" w:eastAsia="Times New Roman" w:hAnsi="Times New Roman"/>
          <w:sz w:val="24"/>
          <w:szCs w:val="24"/>
        </w:rPr>
        <w:t xml:space="preserve">Elementos observables en la aplicación desplegada:</w:t>
      </w:r>
    </w:p>
    <w:p>
      <w:pPr>
        <w:pStyle w:val="ListParagraph"/>
        <w:numPr>
          <w:ilvl w:val="0"/>
          <w:numId w:val="1"/>
        </w:numPr>
        <w:spacing w:after="0" w:line="480"/>
        <w:jc w:val="both"/>
      </w:pPr>
      <w:r>
        <w:rPr>
          <w:rFonts w:ascii="Times New Roman" w:cs="Times New Roman" w:eastAsia="Times New Roman" w:hAnsi="Times New Roman"/>
          <w:sz w:val="24"/>
          <w:szCs w:val="24"/>
        </w:rPr>
        <w:t xml:space="preserve">Interfaz de chat con el control de micrófono y sus tres estados (inactivo, grabando, procesando).</w:t>
      </w:r>
    </w:p>
    <w:p>
      <w:pPr>
        <w:pStyle w:val="ListParagraph"/>
        <w:numPr>
          <w:ilvl w:val="0"/>
          <w:numId w:val="1"/>
        </w:numPr>
        <w:spacing w:after="0" w:line="480"/>
        <w:jc w:val="both"/>
      </w:pPr>
      <w:r>
        <w:rPr>
          <w:rFonts w:ascii="Times New Roman" w:cs="Times New Roman" w:eastAsia="Times New Roman" w:hAnsi="Times New Roman"/>
          <w:sz w:val="24"/>
          <w:szCs w:val="24"/>
        </w:rPr>
        <w:t xml:space="preserve">Visualización de la forma de onda en tiempo real alimentada por la cadena real de procesamiento de señales.</w:t>
      </w:r>
    </w:p>
    <w:p>
      <w:pPr>
        <w:pStyle w:val="ListParagraph"/>
        <w:numPr>
          <w:ilvl w:val="0"/>
          <w:numId w:val="1"/>
        </w:numPr>
        <w:spacing w:after="0" w:line="480"/>
        <w:jc w:val="both"/>
      </w:pPr>
      <w:r>
        <w:rPr>
          <w:rFonts w:ascii="Times New Roman" w:cs="Times New Roman" w:eastAsia="Times New Roman" w:hAnsi="Times New Roman"/>
          <w:sz w:val="24"/>
          <w:szCs w:val="24"/>
        </w:rPr>
        <w:t xml:space="preserve">Resaltado de las correcciones gramaticales sobre el texto transcrito.</w:t>
      </w:r>
    </w:p>
    <w:p>
      <w:pPr>
        <w:pStyle w:val="ListParagraph"/>
        <w:numPr>
          <w:ilvl w:val="0"/>
          <w:numId w:val="1"/>
        </w:numPr>
        <w:spacing w:after="0" w:line="480"/>
        <w:jc w:val="both"/>
      </w:pPr>
      <w:r>
        <w:rPr>
          <w:rFonts w:ascii="Times New Roman" w:cs="Times New Roman" w:eastAsia="Times New Roman" w:hAnsi="Times New Roman"/>
          <w:sz w:val="24"/>
          <w:szCs w:val="24"/>
        </w:rPr>
        <w:t xml:space="preserve">Modo de respaldo con módulos simulados, accesible con el parámetro </w:t>
      </w:r>
      <w:r>
        <w:rPr>
          <w:rFonts w:ascii="Courier New" w:cs="Courier New" w:eastAsia="Courier New" w:hAnsi="Courier New"/>
          <w:sz w:val="22"/>
          <w:szCs w:val="22"/>
        </w:rPr>
        <w:t xml:space="preserve">?mock=1</w:t>
      </w:r>
      <w:r>
        <w:rPr>
          <w:rFonts w:ascii="Times New Roman" w:cs="Times New Roman" w:eastAsia="Times New Roman" w:hAnsi="Times New Roman"/>
          <w:sz w:val="24"/>
          <w:szCs w:val="24"/>
        </w:rPr>
        <w:t xml:space="preserve">, que permite recorrer el flujo completo sin micrófono ni descarga de modelos.</w:t>
      </w:r>
    </w:p>
    <w:p>
      <w:pPr>
        <w:pStyle w:val="ListParagraph"/>
        <w:numPr>
          <w:ilvl w:val="0"/>
          <w:numId w:val="1"/>
        </w:numPr>
        <w:spacing w:after="0" w:line="480"/>
        <w:jc w:val="both"/>
      </w:pPr>
      <w:r>
        <w:rPr>
          <w:rFonts w:ascii="Times New Roman" w:cs="Times New Roman" w:eastAsia="Times New Roman" w:hAnsi="Times New Roman"/>
          <w:sz w:val="24"/>
          <w:szCs w:val="24"/>
        </w:rPr>
        <w:t xml:space="preserve">Estado de la verificación continua y del despliegue, visible en la pestaña </w:t>
      </w:r>
      <w:r>
        <w:rPr>
          <w:rFonts w:ascii="Times New Roman" w:cs="Times New Roman" w:eastAsia="Times New Roman" w:hAnsi="Times New Roman"/>
          <w:i/>
          <w:iCs/>
          <w:sz w:val="24"/>
          <w:szCs w:val="24"/>
        </w:rPr>
        <w:t xml:space="preserve">Actions</w:t>
      </w:r>
      <w:r>
        <w:rPr>
          <w:rFonts w:ascii="Times New Roman" w:cs="Times New Roman" w:eastAsia="Times New Roman" w:hAnsi="Times New Roman"/>
          <w:sz w:val="24"/>
          <w:szCs w:val="24"/>
        </w:rPr>
        <w:t xml:space="preserve"> del repositorio.</w:t>
      </w:r>
    </w:p>
    <w:p>
      <w:pPr>
        <w:pStyle w:val="Heading2"/>
        <w:spacing w:after="0" w:before="120" w:line="480"/>
        <w:jc w:val="left"/>
      </w:pPr>
      <w:r>
        <w:rPr>
          <w:rFonts w:ascii="Times New Roman" w:cs="Times New Roman" w:eastAsia="Times New Roman" w:hAnsi="Times New Roman"/>
          <w:b/>
          <w:bCs/>
          <w:i w:val="false"/>
          <w:iCs w:val="false"/>
          <w:sz w:val="24"/>
          <w:szCs w:val="24"/>
        </w:rPr>
        <w:t xml:space="preserve">Apéndice D: Fragmentos de código relevantes</w:t>
      </w:r>
    </w:p>
    <w:p>
      <w:pPr>
        <w:spacing w:after="0" w:line="480"/>
        <w:ind w:firstLine="720"/>
        <w:jc w:val="both"/>
      </w:pPr>
      <w:r>
        <w:rPr>
          <w:rFonts w:ascii="Times New Roman" w:cs="Times New Roman" w:eastAsia="Times New Roman" w:hAnsi="Times New Roman"/>
          <w:b/>
          <w:bCs/>
          <w:sz w:val="24"/>
          <w:szCs w:val="24"/>
        </w:rPr>
        <w:t xml:space="preserve">D.1 Contratos entre módulos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src/shared/contracts.ts</w:t>
      </w:r>
      <w:r>
        <w:rPr>
          <w:rFonts w:ascii="Times New Roman" w:cs="Times New Roman" w:eastAsia="Times New Roman" w:hAnsi="Times New Roman"/>
          <w:sz w:val="24"/>
          <w:szCs w:val="24"/>
        </w:rPr>
        <w:t xml:space="preserve">). Define la frontera del módulo de audio: el resto de la aplicación depende de esta interfaz, no de su implementación.</w:t>
      </w:r>
    </w:p>
    <w:p>
      <w:pPr>
        <w:keepNext/>
        <w:spacing w:after="0" w:before="200" w:line="480"/>
      </w:pPr>
      <w:r>
        <w:rPr>
          <w:rFonts w:ascii="Times New Roman" w:cs="Times New Roman" w:eastAsia="Times New Roman" w:hAnsi="Times New Roman"/>
          <w:b/>
          <w:bCs/>
          <w:sz w:val="24"/>
          <w:szCs w:val="24"/>
        </w:rPr>
        <w:t xml:space="preserve">Figura 3</w:t>
      </w:r>
    </w:p>
    <w:p>
      <w:pPr>
        <w:keepNext/>
        <w:spacing w:after="120" w:line="480"/>
      </w:pPr>
      <w:r>
        <w:rPr>
          <w:rFonts w:ascii="Times New Roman" w:cs="Times New Roman" w:eastAsia="Times New Roman" w:hAnsi="Times New Roman"/>
          <w:i/>
          <w:iCs/>
          <w:sz w:val="24"/>
          <w:szCs w:val="24"/>
        </w:rPr>
        <w:t xml:space="preserve">Contratos de TypeScript que delimitan la frontera del módulo de audio</w:t>
      </w:r>
    </w:p>
    <w:p>
      <w:pPr>
        <w:spacing w:after="0" w:line="240"/>
      </w:pPr>
      <w:r>
        <w:rPr>
          <w:rFonts w:ascii="Courier New" w:cs="Courier New" w:eastAsia="Courier New" w:hAnsi="Courier New"/>
          <w:sz w:val="18"/>
          <w:szCs w:val="18"/>
        </w:rPr>
        <w:t xml:space="preserve">/** Frame de análisis emitido ~30 veces por segundo para visualización. */</w:t>
      </w:r>
    </w:p>
    <w:p>
      <w:pPr>
        <w:spacing w:after="0" w:line="240"/>
      </w:pPr>
      <w:r>
        <w:rPr>
          <w:rFonts w:ascii="Courier New" w:cs="Courier New" w:eastAsia="Courier New" w:hAnsi="Courier New"/>
          <w:sz w:val="18"/>
          <w:szCs w:val="18"/>
        </w:rPr>
        <w:t xml:space="preserve">export interface AudioFrame {</w:t>
      </w:r>
    </w:p>
    <w:p>
      <w:pPr>
        <w:spacing w:after="0" w:line="240"/>
      </w:pPr>
      <w:r>
        <w:rPr>
          <w:rFonts w:ascii="Courier New" w:cs="Courier New" w:eastAsia="Courier New" w:hAnsi="Courier New"/>
          <w:sz w:val="18"/>
          <w:szCs w:val="18"/>
        </w:rPr>
        <w:t xml:space="preserve">  pcm: Float32Array;      // PCM mono normalizado [-1, 1]</w:t>
      </w:r>
    </w:p>
    <w:p>
      <w:pPr>
        <w:spacing w:after="0" w:line="240"/>
      </w:pPr>
      <w:r>
        <w:rPr>
          <w:rFonts w:ascii="Courier New" w:cs="Courier New" w:eastAsia="Courier New" w:hAnsi="Courier New"/>
          <w:sz w:val="18"/>
          <w:szCs w:val="18"/>
        </w:rPr>
        <w:t xml:space="preserve">  fftDb: Float32Array;    // magnitud del espectro (mitad positiva), en dB</w:t>
      </w:r>
    </w:p>
    <w:p>
      <w:pPr>
        <w:spacing w:after="0" w:line="240"/>
      </w:pPr>
      <w:r>
        <w:rPr>
          <w:rFonts w:ascii="Courier New" w:cs="Courier New" w:eastAsia="Courier New" w:hAnsi="Courier New"/>
          <w:sz w:val="18"/>
          <w:szCs w:val="18"/>
        </w:rPr>
        <w:t xml:space="preserve">  pitchHz: number | null; // frecuencia fundamental, o null si no hay voz</w:t>
      </w:r>
    </w:p>
    <w:p>
      <w:pPr>
        <w:spacing w:after="0" w:line="240"/>
      </w:pPr>
      <w:r>
        <w:rPr>
          <w:rFonts w:ascii="Courier New" w:cs="Courier New" w:eastAsia="Courier New" w:hAnsi="Courier New"/>
          <w:sz w:val="18"/>
          <w:szCs w:val="18"/>
        </w:rPr>
        <w:t xml:space="preserve">  energy: number;         // energia RMS del frame</w:t>
      </w:r>
    </w:p>
    <w:p>
      <w:pPr>
        <w:spacing w:after="0" w:line="240"/>
      </w:pPr>
      <w:r>
        <w:rPr>
          <w:rFonts w:ascii="Courier New" w:cs="Courier New" w:eastAsia="Courier New" w:hAnsi="Courier New"/>
          <w:sz w:val="18"/>
          <w:szCs w:val="18"/>
        </w:rPr>
        <w:t xml:space="preserve">  mfcc: number[];         // 13 coeficientes cepstrales en escala mel</w:t>
      </w:r>
    </w:p>
    <w:p>
      <w:pPr>
        <w:spacing w:after="0" w:line="240"/>
      </w:pPr>
      <w:r>
        <w:rPr>
          <w:rFonts w:ascii="Courier New" w:cs="Courier New" w:eastAsia="Courier New" w:hAnsi="Courier New"/>
          <w:sz w:val="18"/>
          <w:szCs w:val="18"/>
        </w:rPr>
        <w:t xml:space="preserve">  t: number;              // tiempo en segundos desde el inicio</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export interface AudioEngine {</w:t>
      </w:r>
    </w:p>
    <w:p>
      <w:pPr>
        <w:spacing w:after="0" w:line="240"/>
      </w:pPr>
      <w:r>
        <w:rPr>
          <w:rFonts w:ascii="Courier New" w:cs="Courier New" w:eastAsia="Courier New" w:hAnsi="Courier New"/>
          <w:sz w:val="18"/>
          <w:szCs w:val="18"/>
        </w:rPr>
        <w:t xml:space="preserve">  start(): Promise&lt;void&gt;;</w:t>
      </w:r>
    </w:p>
    <w:p>
      <w:pPr>
        <w:spacing w:after="0" w:line="240"/>
      </w:pPr>
      <w:r>
        <w:rPr>
          <w:rFonts w:ascii="Courier New" w:cs="Courier New" w:eastAsia="Courier New" w:hAnsi="Courier New"/>
          <w:sz w:val="18"/>
          <w:szCs w:val="18"/>
        </w:rPr>
        <w:t xml:space="preserve">  stop(): Promise&lt;Float32Array&gt;;</w:t>
      </w:r>
    </w:p>
    <w:p>
      <w:pPr>
        <w:spacing w:after="0" w:line="240"/>
      </w:pPr>
      <w:r>
        <w:rPr>
          <w:rFonts w:ascii="Courier New" w:cs="Courier New" w:eastAsia="Courier New" w:hAnsi="Courier New"/>
          <w:sz w:val="18"/>
          <w:szCs w:val="18"/>
        </w:rPr>
        <w:t xml:space="preserve">  onFrame(cb: (frame: AudioFrame) =&gt; void): () =&gt; void;</w:t>
      </w:r>
    </w:p>
    <w:p>
      <w:pPr>
        <w:spacing w:after="0" w:line="240"/>
      </w:pPr>
      <w:r>
        <w:rPr>
          <w:rFonts w:ascii="Courier New" w:cs="Courier New" w:eastAsia="Courier New" w:hAnsi="Courier New"/>
          <w:sz w:val="18"/>
          <w:szCs w:val="18"/>
        </w:rPr>
        <w:t xml:space="preserve">  analyze(pcm: Float32Array): Promise&lt;AudioFrame[]&gt;;</w:t>
      </w:r>
    </w:p>
    <w:p>
      <w:pPr>
        <w:spacing w:after="0" w:line="240"/>
      </w:pPr>
      <w:r>
        <w:rPr>
          <w:rFonts w:ascii="Courier New" w:cs="Courier New" w:eastAsia="Courier New" w:hAnsi="Courier New"/>
          <w:sz w:val="18"/>
          <w:szCs w:val="18"/>
        </w:rPr>
        <w:t xml:space="preserve">}</w:t>
      </w:r>
    </w:p>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b/>
          <w:bCs/>
          <w:sz w:val="24"/>
          <w:szCs w:val="24"/>
        </w:rPr>
        <w:t xml:space="preserve">D.2 Filtro anti-aliasing y estrategia de remuestreo</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src/audio/dsp/resampler.ts</w:t>
      </w:r>
      <w:r>
        <w:rPr>
          <w:rFonts w:ascii="Times New Roman" w:cs="Times New Roman" w:eastAsia="Times New Roman" w:hAnsi="Times New Roman"/>
          <w:sz w:val="24"/>
          <w:szCs w:val="24"/>
        </w:rPr>
        <w:t xml:space="preserve">). El corte se calcula sobre la frecuencia de muestreo menor, que es la que impone el Nyquist limitante.</w:t>
      </w:r>
    </w:p>
    <w:p>
      <w:pPr>
        <w:keepNext/>
        <w:spacing w:after="0" w:before="200" w:line="480"/>
      </w:pPr>
      <w:r>
        <w:rPr>
          <w:rFonts w:ascii="Times New Roman" w:cs="Times New Roman" w:eastAsia="Times New Roman" w:hAnsi="Times New Roman"/>
          <w:b/>
          <w:bCs/>
          <w:sz w:val="24"/>
          <w:szCs w:val="24"/>
        </w:rPr>
        <w:t xml:space="preserve">Figura 4</w:t>
      </w:r>
    </w:p>
    <w:p>
      <w:pPr>
        <w:keepNext/>
        <w:spacing w:after="120" w:line="480"/>
      </w:pPr>
      <w:r>
        <w:rPr>
          <w:rFonts w:ascii="Times New Roman" w:cs="Times New Roman" w:eastAsia="Times New Roman" w:hAnsi="Times New Roman"/>
          <w:i/>
          <w:iCs/>
          <w:sz w:val="24"/>
          <w:szCs w:val="24"/>
        </w:rPr>
        <w:t xml:space="preserve">Diseño del filtro FIR anti-aliasing previo a la decimación</w:t>
      </w:r>
    </w:p>
    <w:p>
      <w:pPr>
        <w:spacing w:after="0" w:line="240"/>
      </w:pPr>
      <w:r>
        <w:rPr>
          <w:rFonts w:ascii="Courier New" w:cs="Courier New" w:eastAsia="Courier New" w:hAnsi="Courier New"/>
          <w:sz w:val="18"/>
          <w:szCs w:val="18"/>
        </w:rPr>
        <w:t xml:space="preserve">/** Numero de coeficientes del FIR anti-aliasing (impar, fase lineal). */</w:t>
      </w:r>
    </w:p>
    <w:p>
      <w:pPr>
        <w:spacing w:after="0" w:line="240"/>
      </w:pPr>
      <w:r>
        <w:rPr>
          <w:rFonts w:ascii="Courier New" w:cs="Courier New" w:eastAsia="Courier New" w:hAnsi="Courier New"/>
          <w:sz w:val="18"/>
          <w:szCs w:val="18"/>
        </w:rPr>
        <w:t xml:space="preserve">export const ANTI_ALIAS_TAPS = 127;</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export function designAntiAliasFilter(</w:t>
      </w:r>
    </w:p>
    <w:p>
      <w:pPr>
        <w:spacing w:after="0" w:line="240"/>
      </w:pPr>
      <w:r>
        <w:rPr>
          <w:rFonts w:ascii="Courier New" w:cs="Courier New" w:eastAsia="Courier New" w:hAnsi="Courier New"/>
          <w:sz w:val="18"/>
          <w:szCs w:val="18"/>
        </w:rPr>
        <w:t xml:space="preserve">  fromRate: number,</w:t>
      </w:r>
    </w:p>
    <w:p>
      <w:pPr>
        <w:spacing w:after="0" w:line="240"/>
      </w:pPr>
      <w:r>
        <w:rPr>
          <w:rFonts w:ascii="Courier New" w:cs="Courier New" w:eastAsia="Courier New" w:hAnsi="Courier New"/>
          <w:sz w:val="18"/>
          <w:szCs w:val="18"/>
        </w:rPr>
        <w:t xml:space="preserve">  toRate: number = SAMPLE_RATE,</w:t>
      </w:r>
    </w:p>
    <w:p>
      <w:pPr>
        <w:spacing w:after="0" w:line="240"/>
      </w:pPr>
      <w:r>
        <w:rPr>
          <w:rFonts w:ascii="Courier New" w:cs="Courier New" w:eastAsia="Courier New" w:hAnsi="Courier New"/>
          <w:sz w:val="18"/>
          <w:szCs w:val="18"/>
        </w:rPr>
        <w:t xml:space="preserve">  numTaps: number = ANTI_ALIAS_TAPS</w:t>
      </w:r>
    </w:p>
    <w:p>
      <w:pPr>
        <w:spacing w:after="0" w:line="240"/>
      </w:pPr>
      <w:r>
        <w:rPr>
          <w:rFonts w:ascii="Courier New" w:cs="Courier New" w:eastAsia="Courier New" w:hAnsi="Courier New"/>
          <w:sz w:val="18"/>
          <w:szCs w:val="18"/>
        </w:rPr>
        <w:t xml:space="preserve">): Float32Array | null {</w:t>
      </w:r>
    </w:p>
    <w:p>
      <w:pPr>
        <w:spacing w:after="0" w:line="240"/>
      </w:pPr>
      <w:r>
        <w:rPr>
          <w:rFonts w:ascii="Courier New" w:cs="Courier New" w:eastAsia="Courier New" w:hAnsi="Courier New"/>
          <w:sz w:val="18"/>
          <w:szCs w:val="18"/>
        </w:rPr>
        <w:t xml:space="preserve">  // Al subir de frecuencia no hay riesgo de plegado: la senal ya esta</w:t>
      </w:r>
    </w:p>
    <w:p>
      <w:pPr>
        <w:spacing w:after="0" w:line="240"/>
      </w:pPr>
      <w:r>
        <w:rPr>
          <w:rFonts w:ascii="Courier New" w:cs="Courier New" w:eastAsia="Courier New" w:hAnsi="Courier New"/>
          <w:sz w:val="18"/>
          <w:szCs w:val="18"/>
        </w:rPr>
        <w:t xml:space="preserve">  // limitada en banda y el filtro no hace falta.</w:t>
      </w:r>
    </w:p>
    <w:p>
      <w:pPr>
        <w:spacing w:after="0" w:line="240"/>
      </w:pPr>
      <w:r>
        <w:rPr>
          <w:rFonts w:ascii="Courier New" w:cs="Courier New" w:eastAsia="Courier New" w:hAnsi="Courier New"/>
          <w:sz w:val="18"/>
          <w:szCs w:val="18"/>
        </w:rPr>
        <w:t xml:space="preserve">  if (toRate &gt;= fromRate) return null;</w:t>
      </w:r>
    </w:p>
    <w:p>
      <w:pPr>
        <w:spacing w:after="0" w:line="240"/>
      </w:pPr>
      <w:r>
        <w:rPr>
          <w:rFonts w:ascii="Courier New" w:cs="Courier New" w:eastAsia="Courier New" w:hAnsi="Courier New"/>
          <w:sz w:val="18"/>
          <w:szCs w:val="18"/>
        </w:rPr>
        <w:t xml:space="preserve">  return designLowpassFir(antiAliasCutoffHz(toRate), fromRate, numTaps);</w:t>
      </w:r>
    </w:p>
    <w:p>
      <w:pPr>
        <w:spacing w:after="0" w:line="240"/>
      </w:pPr>
      <w:r>
        <w:rPr>
          <w:rFonts w:ascii="Courier New" w:cs="Courier New" w:eastAsia="Courier New" w:hAnsi="Courier New"/>
          <w:sz w:val="18"/>
          <w:szCs w:val="18"/>
        </w:rPr>
        <w:t xml:space="preserve">}</w:t>
      </w:r>
    </w:p>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b/>
          <w:bCs/>
          <w:sz w:val="24"/>
          <w:szCs w:val="24"/>
        </w:rPr>
        <w:t xml:space="preserve">D.3 Adaptador entre el módulo de señales y el contrato</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src/core/audioEngineAdapter.ts</w:t>
      </w:r>
      <w:r>
        <w:rPr>
          <w:rFonts w:ascii="Times New Roman" w:cs="Times New Roman" w:eastAsia="Times New Roman" w:hAnsi="Times New Roman"/>
          <w:sz w:val="24"/>
          <w:szCs w:val="24"/>
        </w:rPr>
        <w:t xml:space="preserve">). Compone la cadena real de procesamiento sin reimplementar nada, y declara explícitamente los campos aún no calculados en lugar de rellenarlos con valores inventados.</w:t>
      </w:r>
    </w:p>
    <w:p>
      <w:pPr>
        <w:keepNext/>
        <w:spacing w:after="0" w:before="200" w:line="480"/>
      </w:pPr>
      <w:r>
        <w:rPr>
          <w:rFonts w:ascii="Times New Roman" w:cs="Times New Roman" w:eastAsia="Times New Roman" w:hAnsi="Times New Roman"/>
          <w:b/>
          <w:bCs/>
          <w:sz w:val="24"/>
          <w:szCs w:val="24"/>
        </w:rPr>
        <w:t xml:space="preserve">Figura 5</w:t>
      </w:r>
    </w:p>
    <w:p>
      <w:pPr>
        <w:keepNext/>
        <w:spacing w:after="120" w:line="480"/>
      </w:pPr>
      <w:r>
        <w:rPr>
          <w:rFonts w:ascii="Times New Roman" w:cs="Times New Roman" w:eastAsia="Times New Roman" w:hAnsi="Times New Roman"/>
          <w:i/>
          <w:iCs/>
          <w:sz w:val="24"/>
          <w:szCs w:val="24"/>
        </w:rPr>
        <w:t xml:space="preserve">Adaptador entre la cadena de procesamiento de señales y el contrato AudioEngine</w:t>
      </w:r>
    </w:p>
    <w:p>
      <w:pPr>
        <w:spacing w:after="0" w:line="240"/>
      </w:pPr>
      <w:r>
        <w:rPr>
          <w:rFonts w:ascii="Courier New" w:cs="Courier New" w:eastAsia="Courier New" w:hAnsi="Courier New"/>
          <w:sz w:val="18"/>
          <w:szCs w:val="18"/>
        </w:rPr>
        <w:t xml:space="preserve">capture.onBlock((raw) =&gt; {</w:t>
      </w:r>
    </w:p>
    <w:p>
      <w:pPr>
        <w:spacing w:after="0" w:line="240"/>
      </w:pPr>
      <w:r>
        <w:rPr>
          <w:rFonts w:ascii="Courier New" w:cs="Courier New" w:eastAsia="Courier New" w:hAnsi="Courier New"/>
          <w:sz w:val="18"/>
          <w:szCs w:val="18"/>
        </w:rPr>
        <w:t xml:space="preserve">  const clean = pre.process(raw);        // decimacion, pasa-banda, RMS</w:t>
      </w:r>
    </w:p>
    <w:p>
      <w:pPr>
        <w:spacing w:after="0" w:line="240"/>
      </w:pPr>
      <w:r>
        <w:rPr>
          <w:rFonts w:ascii="Courier New" w:cs="Courier New" w:eastAsia="Courier New" w:hAnsi="Courier New"/>
          <w:sz w:val="18"/>
          <w:szCs w:val="18"/>
        </w:rPr>
        <w:t xml:space="preserve">  const frame = toFrame(clean);          // ventana de Hann, FFT, dB</w:t>
      </w:r>
    </w:p>
    <w:p>
      <w:pPr>
        <w:spacing w:after="0" w:line="240"/>
      </w:pPr>
      <w:r>
        <w:rPr>
          <w:rFonts w:ascii="Courier New" w:cs="Courier New" w:eastAsia="Courier New" w:hAnsi="Courier New"/>
          <w:sz w:val="18"/>
          <w:szCs w:val="18"/>
        </w:rPr>
        <w:t xml:space="preserve">  subs.forEach((cb) =&gt; cb(frame));</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return {</w:t>
      </w:r>
    </w:p>
    <w:p>
      <w:pPr>
        <w:spacing w:after="0" w:line="240"/>
      </w:pPr>
      <w:r>
        <w:rPr>
          <w:rFonts w:ascii="Courier New" w:cs="Courier New" w:eastAsia="Courier New" w:hAnsi="Courier New"/>
          <w:sz w:val="18"/>
          <w:szCs w:val="18"/>
        </w:rPr>
        <w:t xml:space="preserve">  pcm, fftDb,</w:t>
      </w:r>
    </w:p>
    <w:p>
      <w:pPr>
        <w:spacing w:after="0" w:line="240"/>
      </w:pPr>
      <w:r>
        <w:rPr>
          <w:rFonts w:ascii="Courier New" w:cs="Courier New" w:eastAsia="Courier New" w:hAnsi="Courier New"/>
          <w:sz w:val="18"/>
          <w:szCs w:val="18"/>
        </w:rPr>
        <w:t xml:space="preserve">  pitchHz: null,     // pendiente de S5-T1 (algoritmo YIN)</w:t>
      </w:r>
    </w:p>
    <w:p>
      <w:pPr>
        <w:spacing w:after="0" w:line="240"/>
      </w:pPr>
      <w:r>
        <w:rPr>
          <w:rFonts w:ascii="Courier New" w:cs="Courier New" w:eastAsia="Courier New" w:hAnsi="Courier New"/>
          <w:sz w:val="18"/>
          <w:szCs w:val="18"/>
        </w:rPr>
        <w:t xml:space="preserve">  energy,</w:t>
      </w:r>
    </w:p>
    <w:p>
      <w:pPr>
        <w:spacing w:after="0" w:line="240"/>
      </w:pPr>
      <w:r>
        <w:rPr>
          <w:rFonts w:ascii="Courier New" w:cs="Courier New" w:eastAsia="Courier New" w:hAnsi="Courier New"/>
          <w:sz w:val="18"/>
          <w:szCs w:val="18"/>
        </w:rPr>
        <w:t xml:space="preserve">  mfcc: EMPTY_MFCC,  // pendiente de S5-T2 (banco mel y DCT)</w:t>
      </w:r>
    </w:p>
    <w:p>
      <w:pPr>
        <w:spacing w:after="0" w:line="240"/>
      </w:pPr>
      <w:r>
        <w:rPr>
          <w:rFonts w:ascii="Courier New" w:cs="Courier New" w:eastAsia="Courier New" w:hAnsi="Courier New"/>
          <w:sz w:val="18"/>
          <w:szCs w:val="18"/>
        </w:rPr>
        <w:t xml:space="preserve">  t: elapsed,</w:t>
      </w:r>
    </w:p>
    <w:p>
      <w:pPr>
        <w:spacing w:after="0" w:line="240"/>
      </w:pPr>
      <w:r>
        <w:rPr>
          <w:rFonts w:ascii="Courier New" w:cs="Courier New" w:eastAsia="Courier New" w:hAnsi="Courier New"/>
          <w:sz w:val="18"/>
          <w:szCs w:val="18"/>
        </w:rPr>
        <w:t xml:space="preserve">};</w:t>
      </w:r>
    </w:p>
    <w:p>
      <w:pPr>
        <w:spacing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b/>
          <w:bCs/>
          <w:sz w:val="24"/>
          <w:szCs w:val="24"/>
        </w:rPr>
        <w:t xml:space="preserve">D.4 Máquina de estados del orquestador</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src/core/orchestrator.ts</w:t>
      </w:r>
      <w:r>
        <w:rPr>
          <w:rFonts w:ascii="Times New Roman" w:cs="Times New Roman" w:eastAsia="Times New Roman" w:hAnsi="Times New Roman"/>
          <w:sz w:val="24"/>
          <w:szCs w:val="24"/>
        </w:rPr>
        <w:t xml:space="preserve">). Recibe sus dependencias por inyección, de modo que sustituir un módulo simulado por el real no altera esta lógica.</w:t>
      </w:r>
    </w:p>
    <w:p>
      <w:pPr>
        <w:keepNext/>
        <w:spacing w:after="0" w:before="200" w:line="480"/>
      </w:pPr>
      <w:r>
        <w:rPr>
          <w:rFonts w:ascii="Times New Roman" w:cs="Times New Roman" w:eastAsia="Times New Roman" w:hAnsi="Times New Roman"/>
          <w:b/>
          <w:bCs/>
          <w:sz w:val="24"/>
          <w:szCs w:val="24"/>
        </w:rPr>
        <w:t xml:space="preserve">Figura 6</w:t>
      </w:r>
    </w:p>
    <w:p>
      <w:pPr>
        <w:keepNext/>
        <w:spacing w:after="120" w:line="480"/>
      </w:pPr>
      <w:r>
        <w:rPr>
          <w:rFonts w:ascii="Times New Roman" w:cs="Times New Roman" w:eastAsia="Times New Roman" w:hAnsi="Times New Roman"/>
          <w:i/>
          <w:iCs/>
          <w:sz w:val="24"/>
          <w:szCs w:val="24"/>
        </w:rPr>
        <w:t xml:space="preserve">Máquina de estados del orquestador de la conversación</w:t>
      </w:r>
    </w:p>
    <w:p>
      <w:pPr>
        <w:spacing w:after="0" w:line="240"/>
      </w:pPr>
      <w:r>
        <w:rPr>
          <w:rFonts w:ascii="Courier New" w:cs="Courier New" w:eastAsia="Courier New" w:hAnsi="Courier New"/>
          <w:sz w:val="18"/>
          <w:szCs w:val="18"/>
        </w:rPr>
        <w:t xml:space="preserve">export type OrchestratorState = 'idle' | 'recording' | 'processing';</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async toggleMic() {</w:t>
      </w:r>
    </w:p>
    <w:p>
      <w:pPr>
        <w:spacing w:after="0" w:line="240"/>
      </w:pPr>
      <w:r>
        <w:rPr>
          <w:rFonts w:ascii="Courier New" w:cs="Courier New" w:eastAsia="Courier New" w:hAnsi="Courier New"/>
          <w:sz w:val="18"/>
          <w:szCs w:val="18"/>
        </w:rPr>
        <w:t xml:space="preserve">  if (state === 'processing') return;   // se ignora durante el proceso</w:t>
      </w:r>
    </w:p>
    <w:p>
      <w:pPr>
        <w:spacing w:after="0" w:line="240"/>
      </w:pPr>
      <w:r>
        <w:rPr>
          <w:rFonts w:ascii="Courier New" w:cs="Courier New" w:eastAsia="Courier New" w:hAnsi="Courier New"/>
          <w:sz w:val="18"/>
          <w:szCs w:val="18"/>
        </w:rPr>
        <w:t xml:space="preserve">  if (state === 'idle') {</w:t>
      </w:r>
    </w:p>
    <w:p>
      <w:pPr>
        <w:spacing w:after="0" w:line="240"/>
      </w:pPr>
      <w:r>
        <w:rPr>
          <w:rFonts w:ascii="Courier New" w:cs="Courier New" w:eastAsia="Courier New" w:hAnsi="Courier New"/>
          <w:sz w:val="18"/>
          <w:szCs w:val="18"/>
        </w:rPr>
        <w:t xml:space="preserve">    await audio.start();</w:t>
      </w:r>
    </w:p>
    <w:p>
      <w:pPr>
        <w:spacing w:after="0" w:line="240"/>
      </w:pPr>
      <w:r>
        <w:rPr>
          <w:rFonts w:ascii="Courier New" w:cs="Courier New" w:eastAsia="Courier New" w:hAnsi="Courier New"/>
          <w:sz w:val="18"/>
          <w:szCs w:val="18"/>
        </w:rPr>
        <w:t xml:space="preserve">    state = 'recording';</w:t>
      </w:r>
    </w:p>
    <w:p>
      <w:pPr>
        <w:spacing w:after="0" w:line="240"/>
      </w:pPr>
      <w:r>
        <w:rPr>
          <w:rFonts w:ascii="Courier New" w:cs="Courier New" w:eastAsia="Courier New" w:hAnsi="Courier New"/>
          <w:sz w:val="18"/>
          <w:szCs w:val="18"/>
        </w:rPr>
        <w:t xml:space="preserve">    bus.emit({ type: 'recording-started' });</w:t>
      </w:r>
    </w:p>
    <w:p>
      <w:pPr>
        <w:spacing w:after="0" w:line="240"/>
      </w:pPr>
      <w:r>
        <w:rPr>
          <w:rFonts w:ascii="Courier New" w:cs="Courier New" w:eastAsia="Courier New" w:hAnsi="Courier New"/>
          <w:sz w:val="18"/>
          <w:szCs w:val="18"/>
        </w:rPr>
        <w:t xml:space="preserve">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const pcm = await audio.stop();       // state === 'recording'</w:t>
      </w:r>
    </w:p>
    <w:p>
      <w:pPr>
        <w:spacing w:after="0" w:line="240"/>
      </w:pPr>
      <w:r>
        <w:rPr>
          <w:rFonts w:ascii="Courier New" w:cs="Courier New" w:eastAsia="Courier New" w:hAnsi="Courier New"/>
          <w:sz w:val="18"/>
          <w:szCs w:val="18"/>
        </w:rPr>
        <w:t xml:space="preserve">  await processTurn(pcm);               // ASR, gramatica, respuesta</w:t>
      </w:r>
    </w:p>
    <w:p>
      <w:pPr>
        <w:spacing w:after="0" w:line="240"/>
      </w:pPr>
      <w:r>
        <w:rPr>
          <w:rFonts w:ascii="Courier New" w:cs="Courier New" w:eastAsia="Courier New" w:hAnsi="Courier New"/>
          <w:sz w:val="18"/>
          <w:szCs w:val="18"/>
        </w:rPr>
        <w:t xml:space="preserve">}</w:t>
      </w:r>
    </w:p>
    <w:p>
      <w:pPr>
        <w:spacing w:line="240"/>
      </w:pPr>
      <w:r>
        <w:rPr>
          <w:rFonts w:ascii="Times New Roman" w:cs="Times New Roman" w:eastAsia="Times New Roman" w:hAnsi="Times New Roman"/>
          <w:sz w:val="24"/>
          <w:szCs w:val="24"/>
        </w:rPr>
        <w:t xml:space="preserve"/>
      </w:r>
    </w:p>
    <w:p>
      <w:pPr>
        <w:pStyle w:val="Heading2"/>
        <w:spacing w:after="0" w:before="120" w:line="480"/>
        <w:jc w:val="left"/>
      </w:pPr>
      <w:r>
        <w:rPr>
          <w:rFonts w:ascii="Times New Roman" w:cs="Times New Roman" w:eastAsia="Times New Roman" w:hAnsi="Times New Roman"/>
          <w:b/>
          <w:bCs/>
          <w:i w:val="false"/>
          <w:iCs w:val="false"/>
          <w:sz w:val="24"/>
          <w:szCs w:val="24"/>
        </w:rPr>
        <w:t xml:space="preserve">Apéndice E: Gestión del proyecto</w:t>
      </w:r>
    </w:p>
    <w:p>
      <w:pPr>
        <w:spacing w:after="0" w:line="480"/>
        <w:ind w:firstLine="720"/>
        <w:jc w:val="both"/>
      </w:pPr>
      <w:r>
        <w:rPr>
          <w:rFonts w:ascii="Times New Roman" w:cs="Times New Roman" w:eastAsia="Times New Roman" w:hAnsi="Times New Roman"/>
          <w:sz w:val="24"/>
          <w:szCs w:val="24"/>
        </w:rPr>
        <w:t xml:space="preserve">Planificación completa (</w:t>
      </w:r>
      <w:r>
        <w:rPr>
          <w:rFonts w:ascii="Courier New" w:cs="Courier New" w:eastAsia="Courier New" w:hAnsi="Courier New"/>
          <w:sz w:val="22"/>
          <w:szCs w:val="22"/>
        </w:rPr>
        <w:t xml:space="preserve">docs/00</w:t>
      </w:r>
      <w:r>
        <w:rPr>
          <w:rFonts w:ascii="Times New Roman" w:cs="Times New Roman" w:eastAsia="Times New Roman" w:hAnsi="Times New Roman"/>
          <w:sz w:val="24"/>
          <w:szCs w:val="24"/>
        </w:rPr>
        <w:t xml:space="preserve"> a </w:t>
      </w:r>
      <w:r>
        <w:rPr>
          <w:rFonts w:ascii="Courier New" w:cs="Courier New" w:eastAsia="Courier New" w:hAnsi="Courier New"/>
          <w:sz w:val="22"/>
          <w:szCs w:val="22"/>
        </w:rPr>
        <w:t xml:space="preserve">docs/08</w:t>
      </w:r>
      <w:r>
        <w:rPr>
          <w:rFonts w:ascii="Times New Roman" w:cs="Times New Roman" w:eastAsia="Times New Roman" w:hAnsi="Times New Roman"/>
          <w:sz w:val="24"/>
          <w:szCs w:val="24"/>
        </w:rPr>
        <w:t xml:space="preserve">), historial de commits y pull requests del repositorio, tablero de issues por sprint.</w:t>
      </w:r>
    </w:p>
    <w:p>
      <w:r>
        <w:br w:type="page"/>
      </w:r>
    </w:p>
    <w:p>
      <w:pPr>
        <w:pStyle w:val="Heading1"/>
        <w:spacing w:after="0" w:line="480"/>
        <w:jc w:val="center"/>
      </w:pPr>
      <w:r>
        <w:rPr>
          <w:rFonts w:ascii="Times New Roman" w:cs="Times New Roman" w:eastAsia="Times New Roman" w:hAnsi="Times New Roman"/>
          <w:b/>
          <w:bCs/>
          <w:sz w:val="24"/>
          <w:szCs w:val="24"/>
        </w:rPr>
        <w:t xml:space="preserve">Referencias</w:t>
      </w:r>
    </w:p>
    <w:p>
      <w:pPr>
        <w:spacing w:after="0" w:line="480"/>
        <w:ind w:left="720" w:hanging="720"/>
      </w:pPr>
      <w:r>
        <w:rPr>
          <w:rFonts w:ascii="Times New Roman" w:cs="Times New Roman" w:eastAsia="Times New Roman" w:hAnsi="Times New Roman"/>
          <w:sz w:val="24"/>
          <w:szCs w:val="24"/>
        </w:rPr>
        <w:t xml:space="preserve">Davis, S. B., y Mermelstein, P. (1980). Comparison of parametric representations for monosyllabic word recognition in continuously spoken sentences. </w:t>
      </w:r>
      <w:r>
        <w:rPr>
          <w:rFonts w:ascii="Times New Roman" w:cs="Times New Roman" w:eastAsia="Times New Roman" w:hAnsi="Times New Roman"/>
          <w:i/>
          <w:iCs/>
          <w:sz w:val="24"/>
          <w:szCs w:val="24"/>
        </w:rPr>
        <w:t xml:space="preserve">IEEE Transactions on Acoustics, Speech, and Signal Processing, 28</w:t>
      </w:r>
      <w:r>
        <w:rPr>
          <w:rFonts w:ascii="Times New Roman" w:cs="Times New Roman" w:eastAsia="Times New Roman" w:hAnsi="Times New Roman"/>
          <w:sz w:val="24"/>
          <w:szCs w:val="24"/>
        </w:rPr>
        <w:t xml:space="preserve">(4), 357–366.</w:t>
      </w:r>
    </w:p>
    <w:p>
      <w:pPr>
        <w:spacing w:after="0" w:line="480"/>
        <w:ind w:left="720" w:hanging="720"/>
      </w:pPr>
      <w:r>
        <w:rPr>
          <w:rFonts w:ascii="Times New Roman" w:cs="Times New Roman" w:eastAsia="Times New Roman" w:hAnsi="Times New Roman"/>
          <w:sz w:val="24"/>
          <w:szCs w:val="24"/>
        </w:rPr>
        <w:t xml:space="preserve">De Cheveigné, A., y Kawahara, H. (2002). YIN, a fundamental frequency estimator for speech and music. </w:t>
      </w:r>
      <w:r>
        <w:rPr>
          <w:rFonts w:ascii="Times New Roman" w:cs="Times New Roman" w:eastAsia="Times New Roman" w:hAnsi="Times New Roman"/>
          <w:i/>
          <w:iCs/>
          <w:sz w:val="24"/>
          <w:szCs w:val="24"/>
        </w:rPr>
        <w:t xml:space="preserve">The Journal of the Acoustical Society of America, 111</w:t>
      </w:r>
      <w:r>
        <w:rPr>
          <w:rFonts w:ascii="Times New Roman" w:cs="Times New Roman" w:eastAsia="Times New Roman" w:hAnsi="Times New Roman"/>
          <w:sz w:val="24"/>
          <w:szCs w:val="24"/>
        </w:rPr>
        <w:t xml:space="preserve">(4), 1917–1930.</w:t>
      </w:r>
    </w:p>
    <w:p>
      <w:pPr>
        <w:spacing w:after="0" w:line="480"/>
        <w:ind w:left="720" w:hanging="720"/>
      </w:pPr>
      <w:r>
        <w:rPr>
          <w:rFonts w:ascii="Times New Roman" w:cs="Times New Roman" w:eastAsia="Times New Roman" w:hAnsi="Times New Roman"/>
          <w:sz w:val="24"/>
          <w:szCs w:val="24"/>
        </w:rPr>
        <w:t xml:space="preserve">Google Developers. (2024). </w:t>
      </w:r>
      <w:r>
        <w:rPr>
          <w:rFonts w:ascii="Times New Roman" w:cs="Times New Roman" w:eastAsia="Times New Roman" w:hAnsi="Times New Roman"/>
          <w:i/>
          <w:iCs/>
          <w:sz w:val="24"/>
          <w:szCs w:val="24"/>
        </w:rPr>
        <w:t xml:space="preserve">Progressive Web Apps</w:t>
      </w:r>
      <w:r>
        <w:rPr>
          <w:rFonts w:ascii="Times New Roman" w:cs="Times New Roman" w:eastAsia="Times New Roman" w:hAnsi="Times New Roman"/>
          <w:sz w:val="24"/>
          <w:szCs w:val="24"/>
        </w:rPr>
        <w:t xml:space="preserve">. https://web.dev/progressive-web-apps/</w:t>
      </w:r>
    </w:p>
    <w:p>
      <w:pPr>
        <w:spacing w:after="0" w:line="480"/>
        <w:ind w:left="720" w:hanging="720"/>
      </w:pPr>
      <w:r>
        <w:rPr>
          <w:rFonts w:ascii="Times New Roman" w:cs="Times New Roman" w:eastAsia="Times New Roman" w:hAnsi="Times New Roman"/>
          <w:sz w:val="24"/>
          <w:szCs w:val="24"/>
        </w:rPr>
        <w:t xml:space="preserve">Hugging Face. (2024). </w:t>
      </w:r>
      <w:r>
        <w:rPr>
          <w:rFonts w:ascii="Times New Roman" w:cs="Times New Roman" w:eastAsia="Times New Roman" w:hAnsi="Times New Roman"/>
          <w:i/>
          <w:iCs/>
          <w:sz w:val="24"/>
          <w:szCs w:val="24"/>
        </w:rPr>
        <w:t xml:space="preserve">Transformers.js documentation</w:t>
      </w:r>
      <w:r>
        <w:rPr>
          <w:rFonts w:ascii="Times New Roman" w:cs="Times New Roman" w:eastAsia="Times New Roman" w:hAnsi="Times New Roman"/>
          <w:sz w:val="24"/>
          <w:szCs w:val="24"/>
        </w:rPr>
        <w:t xml:space="preserve">. https://huggingface.co/docs/transformers.js</w:t>
      </w:r>
    </w:p>
    <w:p>
      <w:pPr>
        <w:spacing w:after="0" w:line="480"/>
        <w:ind w:left="720" w:hanging="720"/>
      </w:pPr>
      <w:r>
        <w:rPr>
          <w:rFonts w:ascii="Times New Roman" w:cs="Times New Roman" w:eastAsia="Times New Roman" w:hAnsi="Times New Roman"/>
          <w:sz w:val="24"/>
          <w:szCs w:val="24"/>
        </w:rPr>
        <w:t xml:space="preserve">Mozilla Developer Network. (2024). </w:t>
      </w:r>
      <w:r>
        <w:rPr>
          <w:rFonts w:ascii="Times New Roman" w:cs="Times New Roman" w:eastAsia="Times New Roman" w:hAnsi="Times New Roman"/>
          <w:i/>
          <w:iCs/>
          <w:sz w:val="24"/>
          <w:szCs w:val="24"/>
        </w:rPr>
        <w:t xml:space="preserve">Web Audio API</w:t>
      </w:r>
      <w:r>
        <w:rPr>
          <w:rFonts w:ascii="Times New Roman" w:cs="Times New Roman" w:eastAsia="Times New Roman" w:hAnsi="Times New Roman"/>
          <w:sz w:val="24"/>
          <w:szCs w:val="24"/>
        </w:rPr>
        <w:t xml:space="preserve">. https://developer.mozilla.org/docs/Web/API/Web_Audio_API</w:t>
      </w:r>
    </w:p>
    <w:p>
      <w:pPr>
        <w:spacing w:after="0" w:line="480"/>
        <w:ind w:left="720" w:hanging="720"/>
      </w:pPr>
      <w:r>
        <w:rPr>
          <w:rFonts w:ascii="Times New Roman" w:cs="Times New Roman" w:eastAsia="Times New Roman" w:hAnsi="Times New Roman"/>
          <w:sz w:val="24"/>
          <w:szCs w:val="24"/>
        </w:rPr>
        <w:t xml:space="preserve">Oppenheim, A. V., y Schafer, R. W. (2009). </w:t>
      </w:r>
      <w:r>
        <w:rPr>
          <w:rFonts w:ascii="Times New Roman" w:cs="Times New Roman" w:eastAsia="Times New Roman" w:hAnsi="Times New Roman"/>
          <w:i/>
          <w:iCs/>
          <w:sz w:val="24"/>
          <w:szCs w:val="24"/>
        </w:rPr>
        <w:t xml:space="preserve">Discrete-time signal processing</w:t>
      </w:r>
      <w:r>
        <w:rPr>
          <w:rFonts w:ascii="Times New Roman" w:cs="Times New Roman" w:eastAsia="Times New Roman" w:hAnsi="Times New Roman"/>
          <w:sz w:val="24"/>
          <w:szCs w:val="24"/>
        </w:rPr>
        <w:t xml:space="preserve"> (3.ª ed.). Pearson.</w:t>
      </w:r>
    </w:p>
    <w:p>
      <w:pPr>
        <w:spacing w:after="0" w:line="480"/>
        <w:ind w:left="720" w:hanging="720"/>
      </w:pPr>
      <w:r>
        <w:rPr>
          <w:rFonts w:ascii="Times New Roman" w:cs="Times New Roman" w:eastAsia="Times New Roman" w:hAnsi="Times New Roman"/>
          <w:sz w:val="24"/>
          <w:szCs w:val="24"/>
        </w:rPr>
        <w:t xml:space="preserve">Proakis, J. G., y Manolakis, D. G. (2006). </w:t>
      </w:r>
      <w:r>
        <w:rPr>
          <w:rFonts w:ascii="Times New Roman" w:cs="Times New Roman" w:eastAsia="Times New Roman" w:hAnsi="Times New Roman"/>
          <w:i/>
          <w:iCs/>
          <w:sz w:val="24"/>
          <w:szCs w:val="24"/>
        </w:rPr>
        <w:t xml:space="preserve">Digital signal processing: Principles, algorithms and applications</w:t>
      </w:r>
      <w:r>
        <w:rPr>
          <w:rFonts w:ascii="Times New Roman" w:cs="Times New Roman" w:eastAsia="Times New Roman" w:hAnsi="Times New Roman"/>
          <w:sz w:val="24"/>
          <w:szCs w:val="24"/>
        </w:rPr>
        <w:t xml:space="preserve"> (4.ª ed.). Pearson.</w:t>
      </w:r>
    </w:p>
    <w:p>
      <w:pPr>
        <w:spacing w:after="0" w:line="480"/>
        <w:ind w:left="720" w:hanging="720"/>
      </w:pPr>
      <w:r>
        <w:rPr>
          <w:rFonts w:ascii="Times New Roman" w:cs="Times New Roman" w:eastAsia="Times New Roman" w:hAnsi="Times New Roman"/>
          <w:sz w:val="24"/>
          <w:szCs w:val="24"/>
        </w:rPr>
        <w:t xml:space="preserve">Radford, A., Kim, J. W., Xu, T., Brockman, G., McLeavey, C., y Sutskever, I. (2022). </w:t>
      </w:r>
      <w:r>
        <w:rPr>
          <w:rFonts w:ascii="Times New Roman" w:cs="Times New Roman" w:eastAsia="Times New Roman" w:hAnsi="Times New Roman"/>
          <w:i/>
          <w:iCs/>
          <w:sz w:val="24"/>
          <w:szCs w:val="24"/>
        </w:rPr>
        <w:t xml:space="preserve">Robust speech recognition via large-scale weak supervision</w:t>
      </w:r>
      <w:r>
        <w:rPr>
          <w:rFonts w:ascii="Times New Roman" w:cs="Times New Roman" w:eastAsia="Times New Roman" w:hAnsi="Times New Roman"/>
          <w:sz w:val="24"/>
          <w:szCs w:val="24"/>
        </w:rPr>
        <w:t xml:space="preserve"> (arXiv:2212.04356). arXiv. https://arxiv.org/abs/2212.04356</w:t>
      </w:r>
    </w:p>
    <w:p>
      <w:pPr>
        <w:spacing w:after="0" w:line="480"/>
        <w:ind w:left="720" w:hanging="720"/>
      </w:pPr>
      <w:r>
        <w:rPr>
          <w:rFonts w:ascii="Times New Roman" w:cs="Times New Roman" w:eastAsia="Times New Roman" w:hAnsi="Times New Roman"/>
          <w:sz w:val="24"/>
          <w:szCs w:val="24"/>
        </w:rPr>
        <w:t xml:space="preserve">Raffel, C., Shazeer, N., Roberts, A., Lee, K., Narang, S., Matena, M., Zhou, Y., Li, W., y Liu, P. J. (2020). Exploring the limits of transfer learning with a unified text-to-text transformer. </w:t>
      </w:r>
      <w:r>
        <w:rPr>
          <w:rFonts w:ascii="Times New Roman" w:cs="Times New Roman" w:eastAsia="Times New Roman" w:hAnsi="Times New Roman"/>
          <w:i/>
          <w:iCs/>
          <w:sz w:val="24"/>
          <w:szCs w:val="24"/>
        </w:rPr>
        <w:t xml:space="preserve">Journal of Machine Learning Research, 21</w:t>
      </w:r>
      <w:r>
        <w:rPr>
          <w:rFonts w:ascii="Times New Roman" w:cs="Times New Roman" w:eastAsia="Times New Roman" w:hAnsi="Times New Roman"/>
          <w:sz w:val="24"/>
          <w:szCs w:val="24"/>
        </w:rPr>
        <w:t xml:space="preserve">(140), 1–67.</w:t>
      </w:r>
    </w:p>
    <w:p>
      <w:pPr>
        <w:spacing w:after="0" w:line="480"/>
        <w:ind w:left="720" w:hanging="720"/>
      </w:pPr>
      <w:r>
        <w:rPr>
          <w:rFonts w:ascii="Times New Roman" w:cs="Times New Roman" w:eastAsia="Times New Roman" w:hAnsi="Times New Roman"/>
          <w:sz w:val="24"/>
          <w:szCs w:val="24"/>
        </w:rPr>
        <w:t xml:space="preserve">Sakoe, H., y Chiba, S. (1978). Dynamic programming algorithm optimization for spoken word recognition. </w:t>
      </w:r>
      <w:r>
        <w:rPr>
          <w:rFonts w:ascii="Times New Roman" w:cs="Times New Roman" w:eastAsia="Times New Roman" w:hAnsi="Times New Roman"/>
          <w:i/>
          <w:iCs/>
          <w:sz w:val="24"/>
          <w:szCs w:val="24"/>
        </w:rPr>
        <w:t xml:space="preserve">IEEE Transactions on Acoustics, Speech, and Signal Processing, 26</w:t>
      </w:r>
      <w:r>
        <w:rPr>
          <w:rFonts w:ascii="Times New Roman" w:cs="Times New Roman" w:eastAsia="Times New Roman" w:hAnsi="Times New Roman"/>
          <w:sz w:val="24"/>
          <w:szCs w:val="24"/>
        </w:rPr>
        <w:t xml:space="preserve">(1), 43–49.</w:t>
      </w:r>
    </w:p>
    <w:sectPr>
      <w:head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abstractNum w:abstractNumId="10" w15:restartNumberingAfterBreak="0">
    <w:multiLevelType w:val="hybridMultilevel"/>
    <w:lvl w:ilvl="0" w15:tentative="1">
      <w:start w:val="1"/>
      <w:numFmt w:val="decimal"/>
      <w:lvlText w:val="%1."/>
      <w:lvlJc w:val="start"/>
      <w:pPr>
        <w:ind w:left="720" w:hanging="360"/>
      </w:pPr>
    </w:lvl>
  </w:abstractNum>
  <w:abstractNum w:abstractNumId="11" w15:restartNumberingAfterBreak="0">
    <w:multiLevelType w:val="hybridMultilevel"/>
    <w:lvl w:ilvl="0" w15:tentative="1">
      <w:start w:val="1"/>
      <w:numFmt w:val="decimal"/>
      <w:lvlText w:val="%1."/>
      <w:lvlJc w:val="start"/>
      <w:pPr>
        <w:ind w:left="720" w:hanging="360"/>
      </w:pPr>
    </w:lvl>
  </w:abstractNum>
  <w:abstractNum w:abstractNumId="12" w15:restartNumberingAfterBreak="0">
    <w:multiLevelType w:val="hybridMultilevel"/>
    <w:lvl w:ilvl="0" w15:tentative="1">
      <w:start w:val="1"/>
      <w:numFmt w:val="decimal"/>
      <w:lvlText w:val="%1."/>
      <w:lvlJc w:val="start"/>
      <w:pPr>
        <w:ind w:left="720" w:hanging="360"/>
      </w:pPr>
    </w:lvl>
  </w:abstractNum>
  <w:abstractNum w:abstractNumId="13" w15:restartNumberingAfterBreak="0">
    <w:multiLevelType w:val="hybridMultilevel"/>
    <w:lvl w:ilvl="0" w15:tentative="1">
      <w:start w:val="1"/>
      <w:numFmt w:val="decimal"/>
      <w:lvlText w:val="%1."/>
      <w:lvlJc w:val="start"/>
      <w:pPr>
        <w:ind w:left="720" w:hanging="360"/>
      </w:pPr>
    </w:lvl>
  </w:abstractNum>
  <w:abstractNum w:abstractNumId="14" w15:restartNumberingAfterBreak="0">
    <w:multiLevelType w:val="hybridMultilevel"/>
    <w:lvl w:ilvl="0" w15:tentative="1">
      <w:start w:val="1"/>
      <w:numFmt w:val="decimal"/>
      <w:lvlText w:val="%1."/>
      <w:lvlJc w:val="start"/>
      <w:pPr>
        <w:ind w:left="720" w:hanging="360"/>
      </w:pPr>
    </w:lvl>
  </w:abstractNum>
  <w:abstractNum w:abstractNumId="15" w15:restartNumberingAfterBreak="0">
    <w:multiLevelType w:val="hybridMultilevel"/>
    <w:lvl w:ilvl="0" w15:tentative="1">
      <w:start w:val="1"/>
      <w:numFmt w:val="decimal"/>
      <w:lvlText w:val="%1."/>
      <w:lvlJc w:val="start"/>
      <w:pPr>
        <w:ind w:left="720" w:hanging="360"/>
      </w:pPr>
    </w:lvl>
  </w:abstractNum>
  <w:abstractNum w:abstractNumId="16" w15:restartNumberingAfterBreak="0">
    <w:multiLevelType w:val="hybridMultilevel"/>
    <w:lvl w:ilvl="0" w15:tentative="1">
      <w:start w:val="1"/>
      <w:numFmt w:val="decimal"/>
      <w:lvlText w:val="%1."/>
      <w:lvlJc w:val="start"/>
      <w:pPr>
        <w:ind w:left="720" w:hanging="360"/>
      </w:pPr>
    </w:lvl>
  </w:abstractNum>
  <w:abstractNum w:abstractNumId="17" w15:restartNumberingAfterBreak="0">
    <w:multiLevelType w:val="hybridMultilevel"/>
    <w:lvl w:ilvl="0" w15:tentative="1">
      <w:start w:val="1"/>
      <w:numFmt w:val="decimal"/>
      <w:lvlText w:val="%1."/>
      <w:lvlJc w:val="start"/>
      <w:pPr>
        <w:ind w:left="720" w:hanging="360"/>
      </w:pPr>
    </w:lvl>
  </w:abstractNum>
  <w:abstractNum w:abstractNumId="18" w15:restartNumberingAfterBreak="0">
    <w:multiLevelType w:val="hybridMultilevel"/>
    <w:lvl w:ilvl="0" w15:tentative="1">
      <w:start w:val="1"/>
      <w:numFmt w:val="decimal"/>
      <w:lvlText w:val="%1."/>
      <w:lvlJc w:val="start"/>
      <w:pPr>
        <w:ind w:left="720" w:hanging="360"/>
      </w:pPr>
    </w:lvl>
  </w:abstractNum>
  <w:abstractNum w:abstractNumId="19" w15:restartNumberingAfterBreak="0">
    <w:multiLevelType w:val="hybridMultilevel"/>
    <w:lvl w:ilvl="0" w15:tentative="1">
      <w:start w:val="1"/>
      <w:numFmt w:val="decimal"/>
      <w:lvlText w:val="%1."/>
      <w:lvlJc w:val="start"/>
      <w:pPr>
        <w:ind w:left="720" w:hanging="360"/>
      </w:pPr>
    </w:lvl>
  </w:abstractNum>
  <w:abstractNum w:abstractNumId="20" w15:restartNumberingAfterBreak="0">
    <w:multiLevelType w:val="hybridMultilevel"/>
    <w:lvl w:ilvl="0" w15:tentative="1">
      <w:start w:val="1"/>
      <w:numFmt w:val="decimal"/>
      <w:lvlText w:val="%1."/>
      <w:lvlJc w:val="start"/>
      <w:pPr>
        <w:ind w:left="720" w:hanging="360"/>
      </w:pPr>
    </w:lvl>
  </w:abstractNum>
  <w:abstractNum w:abstractNumId="21" w15:restartNumberingAfterBreak="0">
    <w:multiLevelType w:val="hybridMultilevel"/>
    <w:lvl w:ilvl="0" w15:tentative="1">
      <w:start w:val="1"/>
      <w:numFmt w:val="decimal"/>
      <w:lvlText w:val="%1."/>
      <w:lvlJc w:val="start"/>
      <w:pPr>
        <w:ind w:left="720" w:hanging="360"/>
      </w:pPr>
    </w:lvl>
  </w:abstractNum>
  <w:abstractNum w:abstractNumId="22" w15:restartNumberingAfterBreak="0">
    <w:multiLevelType w:val="hybridMultilevel"/>
    <w:lvl w:ilvl="0" w15:tentative="1">
      <w:start w:val="1"/>
      <w:numFmt w:val="decimal"/>
      <w:lvlText w:val="%1."/>
      <w:lvlJc w:val="start"/>
      <w:pPr>
        <w:ind w:left="720" w:hanging="360"/>
      </w:pPr>
    </w:lvl>
  </w:abstractNum>
  <w:abstractNum w:abstractNumId="23" w15:restartNumberingAfterBreak="0">
    <w:multiLevelType w:val="hybridMultilevel"/>
    <w:lvl w:ilvl="0" w15:tentative="1">
      <w:start w:val="1"/>
      <w:numFmt w:val="decimal"/>
      <w:lvlText w:val="%1."/>
      <w:lvlJc w:val="start"/>
      <w:pPr>
        <w:ind w:left="720" w:hanging="360"/>
      </w:pPr>
    </w:lvl>
  </w:abstractNum>
  <w:abstractNum w:abstractNumId="24" w15:restartNumberingAfterBreak="0">
    <w:multiLevelType w:val="hybridMultilevel"/>
    <w:lvl w:ilvl="0" w15:tentative="1">
      <w:start w:val="1"/>
      <w:numFmt w:val="decimal"/>
      <w:lvlText w:val="%1."/>
      <w:lvlJc w:val="start"/>
      <w:pPr>
        <w:ind w:left="720" w:hanging="360"/>
      </w:pPr>
    </w:lvl>
  </w:abstractNum>
  <w:abstractNum w:abstractNumId="25" w15:restartNumberingAfterBreak="0">
    <w:multiLevelType w:val="hybridMultilevel"/>
    <w:lvl w:ilvl="0" w15:tentative="1">
      <w:start w:val="1"/>
      <w:numFmt w:val="decimal"/>
      <w:lvlText w:val="%1."/>
      <w:lvlJc w:val="start"/>
      <w:pPr>
        <w:ind w:left="720" w:hanging="360"/>
      </w:pPr>
    </w:lvl>
  </w:abstractNum>
  <w:abstractNum w:abstractNumId="26" w15:restartNumberingAfterBreak="0">
    <w:multiLevelType w:val="hybridMultilevel"/>
    <w:lvl w:ilvl="0" w15:tentative="1">
      <w:start w:val="1"/>
      <w:numFmt w:val="decimal"/>
      <w:lvlText w:val="%1."/>
      <w:lvlJc w:val="start"/>
      <w:pPr>
        <w:ind w:left="720" w:hanging="360"/>
      </w:pPr>
    </w:lvl>
  </w:abstractNum>
  <w:abstractNum w:abstractNumId="27" w15:restartNumberingAfterBreak="0">
    <w:multiLevelType w:val="hybridMultilevel"/>
    <w:lvl w:ilvl="0" w15:tentative="1">
      <w:start w:val="1"/>
      <w:numFmt w:val="decimal"/>
      <w:lvlText w:val="%1."/>
      <w:lvlJc w:val="start"/>
      <w:pPr>
        <w:ind w:left="720" w:hanging="360"/>
      </w:pPr>
    </w:lvl>
  </w:abstractNum>
  <w:abstractNum w:abstractNumId="28" w15:restartNumberingAfterBreak="0">
    <w:multiLevelType w:val="hybridMultilevel"/>
    <w:lvl w:ilvl="0" w15:tentative="1">
      <w:start w:val="1"/>
      <w:numFmt w:val="decimal"/>
      <w:lvlText w:val="%1."/>
      <w:lvlJc w:val="start"/>
      <w:pPr>
        <w:ind w:left="720" w:hanging="360"/>
      </w:pPr>
    </w:lvl>
  </w:abstractNum>
  <w:abstractNum w:abstractNumId="29" w15:restartNumberingAfterBreak="0">
    <w:multiLevelType w:val="hybridMultilevel"/>
    <w:lvl w:ilvl="0" w15:tentative="1">
      <w:start w:val="1"/>
      <w:numFmt w:val="decimal"/>
      <w:lvlText w:val="%1."/>
      <w:lvlJc w:val="start"/>
      <w:pPr>
        <w:ind w:left="720" w:hanging="360"/>
      </w:pPr>
    </w:lvl>
  </w:abstractNum>
  <w:abstractNum w:abstractNumId="30" w15:restartNumberingAfterBreak="0">
    <w:multiLevelType w:val="hybridMultilevel"/>
    <w:lvl w:ilvl="0" w15:tentative="1">
      <w:start w:val="1"/>
      <w:numFmt w:val="decimal"/>
      <w:lvlText w:val="%1."/>
      <w:lvlJc w:val="start"/>
      <w:pPr>
        <w:ind w:left="720" w:hanging="360"/>
      </w:pPr>
    </w:lvl>
  </w:abstractNum>
  <w:abstractNum w:abstractNumId="31" w15:restartNumberingAfterBreak="0">
    <w:multiLevelType w:val="hybridMultilevel"/>
    <w:lvl w:ilvl="0" w15:tentative="1">
      <w:start w:val="1"/>
      <w:numFmt w:val="decimal"/>
      <w:lvlText w:val="%1."/>
      <w:lvlJc w:val="start"/>
      <w:pPr>
        <w:ind w:left="720" w:hanging="360"/>
      </w:pPr>
    </w:lvl>
  </w:abstractNum>
  <w:abstractNum w:abstractNumId="32" w15:restartNumberingAfterBreak="0">
    <w:multiLevelType w:val="hybridMultilevel"/>
    <w:lvl w:ilvl="0" w15:tentative="1">
      <w:start w:val="1"/>
      <w:numFmt w:val="decimal"/>
      <w:lvlText w:val="%1."/>
      <w:lvlJc w:val="start"/>
      <w:pPr>
        <w:ind w:left="720" w:hanging="360"/>
      </w:pPr>
    </w:lvl>
  </w:abstractNum>
  <w:abstractNum w:abstractNumId="33" w15:restartNumberingAfterBreak="0">
    <w:multiLevelType w:val="hybridMultilevel"/>
    <w:lvl w:ilvl="0" w15:tentative="1">
      <w:start w:val="1"/>
      <w:numFmt w:val="decimal"/>
      <w:lvlText w:val="%1."/>
      <w:lvlJc w:val="start"/>
      <w:pPr>
        <w:ind w:left="720" w:hanging="360"/>
      </w:pPr>
    </w:lvl>
  </w:abstractNum>
  <w:abstractNum w:abstractNumId="34" w15:restartNumberingAfterBreak="0">
    <w:multiLevelType w:val="hybridMultilevel"/>
    <w:lvl w:ilvl="0" w15:tentative="1">
      <w:start w:val="1"/>
      <w:numFmt w:val="decimal"/>
      <w:lvlText w:val="%1."/>
      <w:lvlJc w:val="start"/>
      <w:pPr>
        <w:ind w:left="720" w:hanging="360"/>
      </w:pPr>
    </w:lvl>
  </w:abstractNum>
  <w:abstractNum w:abstractNumId="35" w15:restartNumberingAfterBreak="0">
    <w:multiLevelType w:val="hybridMultilevel"/>
    <w:lvl w:ilvl="0" w15:tentative="1">
      <w:start w:val="1"/>
      <w:numFmt w:val="decimal"/>
      <w:lvlText w:val="%1."/>
      <w:lvlJc w:val="start"/>
      <w:pPr>
        <w:ind w:left="720" w:hanging="360"/>
      </w:pPr>
    </w:lvl>
  </w:abstractNum>
  <w:abstractNum w:abstractNumId="36" w15:restartNumberingAfterBreak="0">
    <w:multiLevelType w:val="hybridMultilevel"/>
    <w:lvl w:ilvl="0" w15:tentative="1">
      <w:start w:val="1"/>
      <w:numFmt w:val="decimal"/>
      <w:lvlText w:val="%1."/>
      <w:lvlJc w:val="start"/>
      <w:pPr>
        <w:ind w:left="720" w:hanging="360"/>
      </w:pPr>
    </w:lvl>
  </w:abstractNum>
  <w:abstractNum w:abstractNumId="37" w15:restartNumberingAfterBreak="0">
    <w:multiLevelType w:val="hybridMultilevel"/>
    <w:lvl w:ilvl="0" w15:tentative="1">
      <w:start w:val="1"/>
      <w:numFmt w:val="decimal"/>
      <w:lvlText w:val="%1."/>
      <w:lvlJc w:val="start"/>
      <w:pPr>
        <w:ind w:left="720" w:hanging="360"/>
      </w:pPr>
    </w:lvl>
  </w:abstractNum>
  <w:abstractNum w:abstractNumId="38" w15:restartNumberingAfterBreak="0">
    <w:multiLevelType w:val="hybridMultilevel"/>
    <w:lvl w:ilvl="0" w15:tentative="1">
      <w:start w:val="1"/>
      <w:numFmt w:val="decimal"/>
      <w:lvlText w:val="%1."/>
      <w:lvlJc w:val="start"/>
      <w:pPr>
        <w:ind w:left="720" w:hanging="360"/>
      </w:pPr>
    </w:lvl>
  </w:abstractNum>
  <w:abstractNum w:abstractNumId="39" w15:restartNumberingAfterBreak="0">
    <w:multiLevelType w:val="hybridMultilevel"/>
    <w:lvl w:ilvl="0" w15:tentative="1">
      <w:start w:val="1"/>
      <w:numFmt w:val="decimal"/>
      <w:lvlText w:val="%1."/>
      <w:lvlJc w:val="start"/>
      <w:pPr>
        <w:ind w:left="720" w:hanging="360"/>
      </w:pPr>
    </w:lvl>
  </w:abstractNum>
  <w:abstractNum w:abstractNumId="40" w15:restartNumberingAfterBreak="0">
    <w:multiLevelType w:val="hybridMultilevel"/>
    <w:lvl w:ilvl="0" w15:tentative="1">
      <w:start w:val="1"/>
      <w:numFmt w:val="decimal"/>
      <w:lvlText w:val="%1."/>
      <w:lvlJc w:val="start"/>
      <w:pPr>
        <w:ind w:left="720" w:hanging="360"/>
      </w:pPr>
    </w:lvl>
  </w:abstractNum>
  <w:abstractNum w:abstractNumId="41" w15:restartNumberingAfterBreak="0">
    <w:multiLevelType w:val="hybridMultilevel"/>
    <w:lvl w:ilvl="0" w15:tentative="1">
      <w:start w:val="1"/>
      <w:numFmt w:val="decimal"/>
      <w:lvlText w:val="%1."/>
      <w:lvlJc w:val="start"/>
      <w:pPr>
        <w:ind w:left="720" w:hanging="360"/>
      </w:pPr>
    </w:lvl>
  </w:abstractNum>
  <w:abstractNum w:abstractNumId="42" w15:restartNumberingAfterBreak="0">
    <w:multiLevelType w:val="hybridMultilevel"/>
    <w:lvl w:ilvl="0" w15:tentative="1">
      <w:start w:val="1"/>
      <w:numFmt w:val="decimal"/>
      <w:lvlText w:val="%1."/>
      <w:lvlJc w:val="start"/>
      <w:pPr>
        <w:ind w:left="720" w:hanging="360"/>
      </w:pPr>
    </w:lvl>
  </w:abstractNum>
  <w:abstractNum w:abstractNumId="43" w15:restartNumberingAfterBreak="0">
    <w:multiLevelType w:val="hybridMultilevel"/>
    <w:lvl w:ilvl="0" w15:tentative="1">
      <w:start w:val="1"/>
      <w:numFmt w:val="decimal"/>
      <w:lvlText w:val="%1."/>
      <w:lvlJc w:val="start"/>
      <w:pPr>
        <w:ind w:left="720" w:hanging="360"/>
      </w:pPr>
    </w:lvl>
  </w:abstractNum>
  <w:abstractNum w:abstractNumId="44" w15:restartNumberingAfterBreak="0">
    <w:multiLevelType w:val="hybridMultilevel"/>
    <w:lvl w:ilvl="0" w15:tentative="1">
      <w:start w:val="1"/>
      <w:numFmt w:val="decimal"/>
      <w:lvlText w:val="%1."/>
      <w:lvlJc w:val="start"/>
      <w:pPr>
        <w:ind w:left="720" w:hanging="360"/>
      </w:pPr>
    </w:lvl>
  </w:abstractNum>
  <w:abstractNum w:abstractNumId="45" w15:restartNumberingAfterBreak="0">
    <w:multiLevelType w:val="hybridMultilevel"/>
    <w:lvl w:ilvl="0" w15:tentative="1">
      <w:start w:val="1"/>
      <w:numFmt w:val="decimal"/>
      <w:lvlText w:val="%1."/>
      <w:lvlJc w:val="start"/>
      <w:pPr>
        <w:ind w:left="720" w:hanging="360"/>
      </w:pPr>
    </w:lvl>
  </w:abstractNum>
  <w:abstractNum w:abstractNumId="46" w15:restartNumberingAfterBreak="0">
    <w:multiLevelType w:val="hybridMultilevel"/>
    <w:lvl w:ilvl="0" w15:tentative="1">
      <w:start w:val="1"/>
      <w:numFmt w:val="decimal"/>
      <w:lvlText w:val="%1."/>
      <w:lvlJc w:val="start"/>
      <w:pPr>
        <w:ind w:left="720" w:hanging="360"/>
      </w:pPr>
    </w:lvl>
  </w:abstractNum>
  <w:abstractNum w:abstractNumId="47" w15:restartNumberingAfterBreak="0">
    <w:multiLevelType w:val="hybridMultilevel"/>
    <w:lvl w:ilvl="0" w15:tentative="1">
      <w:start w:val="1"/>
      <w:numFmt w:val="decimal"/>
      <w:lvlText w:val="%1."/>
      <w:lvlJc w:val="start"/>
      <w:pPr>
        <w:ind w:left="720" w:hanging="360"/>
      </w:pPr>
    </w:lvl>
  </w:abstractNum>
  <w:abstractNum w:abstractNumId="48" w15:restartNumberingAfterBreak="0">
    <w:multiLevelType w:val="hybridMultilevel"/>
    <w:lvl w:ilvl="0" w15:tentative="1">
      <w:start w:val="1"/>
      <w:numFmt w:val="decimal"/>
      <w:lvlText w:val="%1."/>
      <w:lvlJc w:val="start"/>
      <w:pPr>
        <w:ind w:left="720" w:hanging="360"/>
      </w:pPr>
    </w:lvl>
  </w:abstractNum>
  <w:abstractNum w:abstractNumId="49" w15:restartNumberingAfterBreak="0">
    <w:multiLevelType w:val="hybridMultilevel"/>
    <w:lvl w:ilvl="0" w15:tentative="1">
      <w:start w:val="1"/>
      <w:numFmt w:val="decimal"/>
      <w:lvlText w:val="%1."/>
      <w:lvlJc w:val="start"/>
      <w:pPr>
        <w:ind w:left="720" w:hanging="360"/>
      </w:pPr>
    </w:lvl>
  </w:abstractNum>
  <w:abstractNum w:abstractNumId="50" w15:restartNumberingAfterBreak="0">
    <w:multiLevelType w:val="hybridMultilevel"/>
    <w:lvl w:ilvl="0" w15:tentative="1">
      <w:start w:val="1"/>
      <w:numFmt w:val="decimal"/>
      <w:lvlText w:val="%1."/>
      <w:lvlJc w:val="start"/>
      <w:pPr>
        <w:ind w:left="720" w:hanging="360"/>
      </w:pPr>
    </w:lvl>
  </w:abstractNum>
  <w:abstractNum w:abstractNumId="51" w15:restartNumberingAfterBreak="0">
    <w:multiLevelType w:val="hybridMultilevel"/>
    <w:lvl w:ilvl="0" w15:tentative="1">
      <w:start w:val="1"/>
      <w:numFmt w:val="decimal"/>
      <w:lvlText w:val="%1."/>
      <w:lvlJc w:val="start"/>
      <w:pPr>
        <w:ind w:left="720" w:hanging="360"/>
      </w:pPr>
    </w:lvl>
  </w:abstractNum>
  <w:abstractNum w:abstractNumId="52" w15:restartNumberingAfterBreak="0">
    <w:multiLevelType w:val="hybridMultilevel"/>
    <w:lvl w:ilvl="0" w15:tentative="1">
      <w:start w:val="1"/>
      <w:numFmt w:val="decimal"/>
      <w:lvlText w:val="%1."/>
      <w:lvlJc w:val="start"/>
      <w:pPr>
        <w:ind w:left="720" w:hanging="360"/>
      </w:pPr>
    </w:lvl>
  </w:abstractNum>
  <w:abstractNum w:abstractNumId="53" w15:restartNumberingAfterBreak="0">
    <w:multiLevelType w:val="hybridMultilevel"/>
    <w:lvl w:ilvl="0" w15:tentative="1">
      <w:start w:val="1"/>
      <w:numFmt w:val="decimal"/>
      <w:lvlText w:val="%1."/>
      <w:lvlJc w:val="start"/>
      <w:pPr>
        <w:ind w:left="720" w:hanging="360"/>
      </w:pPr>
    </w:lvl>
  </w:abstractNum>
  <w:abstractNum w:abstractNumId="54" w15:restartNumberingAfterBreak="0">
    <w:multiLevelType w:val="hybridMultilevel"/>
    <w:lvl w:ilvl="0" w15:tentative="1">
      <w:start w:val="1"/>
      <w:numFmt w:val="decimal"/>
      <w:lvlText w:val="%1."/>
      <w:lvlJc w:val="start"/>
      <w:pPr>
        <w:ind w:left="720" w:hanging="360"/>
      </w:pPr>
    </w:lvl>
  </w:abstractNum>
  <w:abstractNum w:abstractNumId="55" w15:restartNumberingAfterBreak="0">
    <w:multiLevelType w:val="hybridMultilevel"/>
    <w:lvl w:ilvl="0" w15:tentative="1">
      <w:start w:val="1"/>
      <w:numFmt w:val="decimal"/>
      <w:lvlText w:val="%1."/>
      <w:lvlJc w:val="start"/>
      <w:pPr>
        <w:ind w:left="720" w:hanging="360"/>
      </w:pPr>
    </w:lvl>
  </w:abstractNum>
  <w:abstractNum w:abstractNumId="56" w15:restartNumberingAfterBreak="0">
    <w:multiLevelType w:val="hybridMultilevel"/>
    <w:lvl w:ilvl="0" w15:tentative="1">
      <w:start w:val="1"/>
      <w:numFmt w:val="decimal"/>
      <w:lvlText w:val="%1."/>
      <w:lvlJc w:val="start"/>
      <w:pPr>
        <w:ind w:left="720" w:hanging="360"/>
      </w:pPr>
    </w:lvl>
  </w:abstractNum>
  <w:abstractNum w:abstractNumId="57" w15:restartNumberingAfterBreak="0">
    <w:multiLevelType w:val="hybridMultilevel"/>
    <w:lvl w:ilvl="0" w15:tentative="1">
      <w:start w:val="1"/>
      <w:numFmt w:val="decimal"/>
      <w:lvlText w:val="%1."/>
      <w:lvlJc w:val="start"/>
      <w:pPr>
        <w:ind w:left="720" w:hanging="360"/>
      </w:pPr>
    </w:lvl>
  </w:abstractNum>
  <w:abstractNum w:abstractNumId="58" w15:restartNumberingAfterBreak="0">
    <w:multiLevelType w:val="hybridMultilevel"/>
    <w:lvl w:ilvl="0" w15:tentative="1">
      <w:start w:val="1"/>
      <w:numFmt w:val="decimal"/>
      <w:lvlText w:val="%1."/>
      <w:lvlJc w:val="start"/>
      <w:pPr>
        <w:ind w:left="720" w:hanging="360"/>
      </w:pPr>
    </w:lvl>
  </w:abstractNum>
  <w:abstractNum w:abstractNumId="59" w15:restartNumberingAfterBreak="0">
    <w:multiLevelType w:val="hybridMultilevel"/>
    <w:lvl w:ilvl="0" w15:tentative="1">
      <w:start w:val="1"/>
      <w:numFmt w:val="decimal"/>
      <w:lvlText w:val="%1."/>
      <w:lvlJc w:val="start"/>
      <w:pPr>
        <w:ind w:left="720" w:hanging="360"/>
      </w:pPr>
    </w:lvl>
  </w:abstractNum>
  <w:abstractNum w:abstractNumId="60" w15:restartNumberingAfterBreak="0">
    <w:multiLevelType w:val="hybridMultilevel"/>
    <w:lvl w:ilvl="0" w15:tentative="1">
      <w:start w:val="1"/>
      <w:numFmt w:val="decimal"/>
      <w:lvlText w:val="%1."/>
      <w:lvlJc w:val="start"/>
      <w:pPr>
        <w:ind w:left="720" w:hanging="360"/>
      </w:pPr>
    </w:lvl>
  </w:abstractNum>
  <w:abstractNum w:abstractNumId="61"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4f0890f1649570715289a36e7e9707f0ad81fa7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Personal English Teacher — Primer Avance</dc:title>
  <dc:creator>Alejandro Zamora, Fabrizio Espinoza, Isaac Morum, José Pablo Monestel</dc:creator>
  <cp:lastModifiedBy>Un-named</cp:lastModifiedBy>
  <cp:revision>1</cp:revision>
  <dcterms:created xsi:type="dcterms:W3CDTF">2026-07-28T20:28:53.009Z</dcterms:created>
  <dcterms:modified xsi:type="dcterms:W3CDTF">2026-07-28T20:28:53.009Z</dcterms:modified>
</cp:coreProperties>
</file>

<file path=docProps/custom.xml><?xml version="1.0" encoding="utf-8"?>
<Properties xmlns="http://schemas.openxmlformats.org/officeDocument/2006/custom-properties" xmlns:vt="http://schemas.openxmlformats.org/officeDocument/2006/docPropsVTypes"/>
</file>