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6EDEA" w14:textId="77777777" w:rsidR="001B438B" w:rsidRDefault="00000000">
      <w:pPr>
        <w:pStyle w:val="Heading1"/>
        <w:jc w:val="center"/>
        <w:rPr>
          <w:rFonts w:ascii="Google Sans" w:eastAsia="Google Sans" w:hAnsi="Google Sans" w:cs="Google Sans"/>
        </w:rPr>
      </w:pPr>
      <w:r>
        <w:rPr>
          <w:rFonts w:ascii="Google Sans" w:eastAsia="Google Sans" w:hAnsi="Google Sans" w:cs="Google Sans"/>
        </w:rPr>
        <w:t>Intelligent Reading Comprehension and Verification System</w:t>
      </w:r>
    </w:p>
    <w:p w14:paraId="4BB2087E" w14:textId="77777777" w:rsidR="001B438B" w:rsidRDefault="00000000">
      <w:pPr>
        <w:pBdr>
          <w:top w:val="nil"/>
          <w:left w:val="nil"/>
          <w:bottom w:val="nil"/>
          <w:right w:val="nil"/>
          <w:between w:val="nil"/>
        </w:pBdr>
        <w:spacing w:line="300" w:lineRule="auto"/>
        <w:jc w:val="center"/>
        <w:rPr>
          <w:rFonts w:ascii="Google Sans" w:eastAsia="Google Sans" w:hAnsi="Google Sans" w:cs="Google Sans"/>
          <w:b/>
          <w:bCs/>
        </w:rPr>
      </w:pPr>
      <w:r>
        <w:rPr>
          <w:rFonts w:ascii="Google Sans" w:eastAsia="Google Sans" w:hAnsi="Google Sans" w:cs="Google Sans"/>
          <w:b/>
          <w:bCs/>
        </w:rPr>
        <w:t>Prepared by:</w:t>
      </w:r>
    </w:p>
    <w:p w14:paraId="07FCA57D" w14:textId="77777777" w:rsidR="001B438B" w:rsidRDefault="00000000">
      <w:pPr>
        <w:pBdr>
          <w:top w:val="nil"/>
          <w:left w:val="nil"/>
          <w:bottom w:val="nil"/>
          <w:right w:val="nil"/>
          <w:between w:val="nil"/>
        </w:pBdr>
        <w:spacing w:line="300" w:lineRule="auto"/>
        <w:jc w:val="center"/>
        <w:rPr>
          <w:rFonts w:ascii="Google Sans" w:eastAsia="Google Sans" w:hAnsi="Google Sans" w:cs="Google Sans"/>
        </w:rPr>
      </w:pPr>
      <w:r>
        <w:rPr>
          <w:rFonts w:ascii="Google Sans" w:eastAsia="Google Sans" w:hAnsi="Google Sans" w:cs="Google Sans"/>
        </w:rPr>
        <w:t>Humayun Bilal (23i-0832)</w:t>
      </w:r>
    </w:p>
    <w:p w14:paraId="02656C7A" w14:textId="77777777" w:rsidR="001B438B" w:rsidRDefault="00000000">
      <w:pPr>
        <w:pBdr>
          <w:top w:val="nil"/>
          <w:left w:val="nil"/>
          <w:bottom w:val="nil"/>
          <w:right w:val="nil"/>
          <w:between w:val="nil"/>
        </w:pBdr>
        <w:spacing w:line="300" w:lineRule="auto"/>
        <w:jc w:val="center"/>
        <w:rPr>
          <w:rFonts w:ascii="Google Sans" w:eastAsia="Google Sans" w:hAnsi="Google Sans" w:cs="Google Sans"/>
        </w:rPr>
      </w:pPr>
      <w:r>
        <w:rPr>
          <w:rFonts w:ascii="Google Sans" w:eastAsia="Google Sans" w:hAnsi="Google Sans" w:cs="Google Sans"/>
        </w:rPr>
        <w:t>M. Faheem (23i-0728)</w:t>
      </w:r>
    </w:p>
    <w:p w14:paraId="07FF436A" w14:textId="77777777" w:rsidR="001B438B" w:rsidRDefault="00000000">
      <w:pPr>
        <w:pBdr>
          <w:top w:val="nil"/>
          <w:left w:val="nil"/>
          <w:bottom w:val="nil"/>
          <w:right w:val="nil"/>
          <w:between w:val="nil"/>
        </w:pBdr>
        <w:spacing w:after="450" w:line="300" w:lineRule="auto"/>
        <w:jc w:val="center"/>
        <w:rPr>
          <w:rFonts w:ascii="Google Sans" w:eastAsia="Google Sans" w:hAnsi="Google Sans" w:cs="Google Sans"/>
        </w:rPr>
      </w:pPr>
      <w:r>
        <w:rPr>
          <w:rFonts w:ascii="Google Sans" w:eastAsia="Google Sans" w:hAnsi="Google Sans" w:cs="Google Sans"/>
        </w:rPr>
        <w:t>Section: CS-D</w:t>
      </w:r>
    </w:p>
    <w:p w14:paraId="66C9EABC" w14:textId="77777777" w:rsidR="001B438B" w:rsidRDefault="00000000">
      <w:pPr>
        <w:pStyle w:val="Heading2"/>
        <w:spacing w:before="0" w:after="300"/>
        <w:rPr>
          <w:rFonts w:ascii="Google Sans" w:eastAsia="Google Sans" w:hAnsi="Google Sans" w:cs="Google Sans"/>
        </w:rPr>
      </w:pPr>
      <w:r>
        <w:rPr>
          <w:rFonts w:ascii="Google Sans" w:eastAsia="Google Sans" w:hAnsi="Google Sans" w:cs="Google Sans"/>
        </w:rPr>
        <w:t>1. Abstract</w:t>
      </w:r>
    </w:p>
    <w:p w14:paraId="6B3F2C17" w14:textId="77777777" w:rsidR="001B438B" w:rsidRDefault="00000000">
      <w:pPr>
        <w:pBdr>
          <w:top w:val="nil"/>
          <w:left w:val="nil"/>
          <w:bottom w:val="nil"/>
          <w:right w:val="nil"/>
          <w:between w:val="nil"/>
        </w:pBdr>
        <w:spacing w:after="450" w:line="300" w:lineRule="auto"/>
        <w:rPr>
          <w:rFonts w:ascii="Google Sans" w:eastAsia="Google Sans" w:hAnsi="Google Sans" w:cs="Google Sans"/>
        </w:rPr>
      </w:pPr>
      <w:r>
        <w:pict w14:anchorId="370F7365">
          <v:rect id="_x0000_i1025" style="width:0;height:1.5pt" o:hralign="center" o:hrstd="t" o:hr="t" fillcolor="#a0a0a0" stroked="f"/>
        </w:pict>
      </w:r>
      <w:r>
        <w:rPr>
          <w:rFonts w:ascii="Google Sans" w:eastAsia="Google Sans" w:hAnsi="Google Sans" w:cs="Google Sans"/>
        </w:rPr>
        <w:t>This project presents the development of an end-to-end Intelligent Reading Comprehension (RC) and verification system utilizing the RACE dataset. The architecture leverages traditional machine learning and Information Retrieval (IR) techniques to provide a low-latency, resource-efficient solution for educational quiz generation. Model A focuses on answer verification via supervised binary classification, while Model B handles the extractive generation of distractors and graduated hints. Trained on a full-scale dataset of 351,464 labels, the system achieves a balanced F1-score of 0.60 and sub-second inference times, meeting strict hardware and performance constraints.</w:t>
      </w:r>
    </w:p>
    <w:p w14:paraId="718B5E4C" w14:textId="77777777" w:rsidR="001B438B" w:rsidRDefault="00000000">
      <w:pPr>
        <w:pStyle w:val="Heading2"/>
        <w:spacing w:before="0" w:after="300"/>
        <w:rPr>
          <w:rFonts w:ascii="Google Sans" w:eastAsia="Google Sans" w:hAnsi="Google Sans" w:cs="Google Sans"/>
        </w:rPr>
      </w:pPr>
      <w:r>
        <w:rPr>
          <w:rFonts w:ascii="Google Sans" w:eastAsia="Google Sans" w:hAnsi="Google Sans" w:cs="Google Sans"/>
        </w:rPr>
        <w:t>2. Introduction and Objectives</w:t>
      </w:r>
    </w:p>
    <w:p w14:paraId="0AAD71D7" w14:textId="77777777" w:rsidR="001B438B" w:rsidRDefault="00000000">
      <w:pPr>
        <w:pBdr>
          <w:top w:val="nil"/>
          <w:left w:val="nil"/>
          <w:bottom w:val="nil"/>
          <w:right w:val="nil"/>
          <w:between w:val="nil"/>
        </w:pBdr>
        <w:spacing w:line="300" w:lineRule="auto"/>
        <w:rPr>
          <w:rFonts w:ascii="Google Sans" w:eastAsia="Google Sans" w:hAnsi="Google Sans" w:cs="Google Sans"/>
        </w:rPr>
      </w:pPr>
      <w:r>
        <w:pict w14:anchorId="66CAC421">
          <v:rect id="_x0000_i1026" style="width:0;height:1.5pt" o:hralign="center" o:hrstd="t" o:hr="t" fillcolor="#a0a0a0" stroked="f"/>
        </w:pict>
      </w:r>
      <w:r>
        <w:rPr>
          <w:rFonts w:ascii="Google Sans" w:eastAsia="Google Sans" w:hAnsi="Google Sans" w:cs="Google Sans"/>
        </w:rPr>
        <w:t>The primary objective of this project is to automate the evaluation and pedagogical support of reading comprehension tasks. Unlike generative large language models, this system prioritizes interpretability and computational efficiency.</w:t>
      </w:r>
    </w:p>
    <w:p w14:paraId="3AF4EBB2" w14:textId="77777777" w:rsidR="001B438B" w:rsidRDefault="00000000">
      <w:pPr>
        <w:numPr>
          <w:ilvl w:val="0"/>
          <w:numId w:val="1"/>
        </w:numPr>
        <w:pBdr>
          <w:top w:val="nil"/>
          <w:left w:val="nil"/>
          <w:bottom w:val="nil"/>
          <w:right w:val="nil"/>
          <w:between w:val="nil"/>
        </w:pBdr>
        <w:spacing w:line="300" w:lineRule="auto"/>
      </w:pPr>
      <w:r>
        <w:rPr>
          <w:rFonts w:ascii="Google Sans" w:eastAsia="Google Sans" w:hAnsi="Google Sans" w:cs="Google Sans"/>
          <w:b/>
          <w:bCs/>
        </w:rPr>
        <w:t>Automated Verification:</w:t>
      </w:r>
      <w:r>
        <w:rPr>
          <w:rFonts w:ascii="Google Sans" w:eastAsia="Google Sans" w:hAnsi="Google Sans" w:cs="Google Sans"/>
        </w:rPr>
        <w:t xml:space="preserve"> Determining the mathematical and semantic validity of multiple-choice options.</w:t>
      </w:r>
    </w:p>
    <w:p w14:paraId="6102D40B" w14:textId="77777777" w:rsidR="001B438B" w:rsidRDefault="00000000">
      <w:pPr>
        <w:numPr>
          <w:ilvl w:val="0"/>
          <w:numId w:val="1"/>
        </w:numPr>
        <w:pBdr>
          <w:top w:val="nil"/>
          <w:left w:val="nil"/>
          <w:bottom w:val="nil"/>
          <w:right w:val="nil"/>
          <w:between w:val="nil"/>
        </w:pBdr>
        <w:spacing w:line="300" w:lineRule="auto"/>
      </w:pPr>
      <w:r>
        <w:rPr>
          <w:rFonts w:ascii="Google Sans" w:eastAsia="Google Sans" w:hAnsi="Google Sans" w:cs="Google Sans"/>
          <w:b/>
          <w:bCs/>
        </w:rPr>
        <w:t>Distractor Generation:</w:t>
      </w:r>
      <w:r>
        <w:rPr>
          <w:rFonts w:ascii="Google Sans" w:eastAsia="Google Sans" w:hAnsi="Google Sans" w:cs="Google Sans"/>
        </w:rPr>
        <w:t xml:space="preserve"> Extracting plausible yet incorrect sentences from the source text to challenge users.</w:t>
      </w:r>
    </w:p>
    <w:p w14:paraId="448D95AB" w14:textId="77777777" w:rsidR="001B438B" w:rsidRDefault="00000000">
      <w:pPr>
        <w:numPr>
          <w:ilvl w:val="0"/>
          <w:numId w:val="1"/>
        </w:numPr>
        <w:pBdr>
          <w:top w:val="nil"/>
          <w:left w:val="nil"/>
          <w:bottom w:val="nil"/>
          <w:right w:val="nil"/>
          <w:between w:val="nil"/>
        </w:pBdr>
        <w:spacing w:line="300" w:lineRule="auto"/>
      </w:pPr>
      <w:r>
        <w:rPr>
          <w:rFonts w:ascii="Google Sans" w:eastAsia="Google Sans" w:hAnsi="Google Sans" w:cs="Google Sans"/>
          <w:b/>
          <w:bCs/>
        </w:rPr>
        <w:t>Graduated Scaffolding:</w:t>
      </w:r>
      <w:r>
        <w:rPr>
          <w:rFonts w:ascii="Google Sans" w:eastAsia="Google Sans" w:hAnsi="Google Sans" w:cs="Google Sans"/>
        </w:rPr>
        <w:t xml:space="preserve"> Implementing a three-stage hint system to guide users toward correct evidence.</w:t>
      </w:r>
    </w:p>
    <w:p w14:paraId="06B39BA3" w14:textId="77777777" w:rsidR="001B438B" w:rsidRDefault="00000000">
      <w:pPr>
        <w:numPr>
          <w:ilvl w:val="0"/>
          <w:numId w:val="1"/>
        </w:numPr>
        <w:pBdr>
          <w:top w:val="nil"/>
          <w:left w:val="nil"/>
          <w:bottom w:val="nil"/>
          <w:right w:val="nil"/>
          <w:between w:val="nil"/>
        </w:pBdr>
        <w:spacing w:line="300" w:lineRule="auto"/>
      </w:pPr>
      <w:r>
        <w:rPr>
          <w:rFonts w:ascii="Google Sans" w:eastAsia="Google Sans" w:hAnsi="Google Sans" w:cs="Google Sans"/>
          <w:b/>
          <w:bCs/>
        </w:rPr>
        <w:t>Hardware Optimization:</w:t>
      </w:r>
      <w:r>
        <w:rPr>
          <w:rFonts w:ascii="Google Sans" w:eastAsia="Google Sans" w:hAnsi="Google Sans" w:cs="Google Sans"/>
        </w:rPr>
        <w:t xml:space="preserve"> Ensuring high performance on consumer grade hardware without the need of a </w:t>
      </w:r>
      <w:proofErr w:type="gramStart"/>
      <w:r>
        <w:rPr>
          <w:rFonts w:ascii="Google Sans" w:eastAsia="Google Sans" w:hAnsi="Google Sans" w:cs="Google Sans"/>
        </w:rPr>
        <w:t>GPU..</w:t>
      </w:r>
      <w:proofErr w:type="gramEnd"/>
    </w:p>
    <w:p w14:paraId="33667FE0" w14:textId="77777777" w:rsidR="001B438B" w:rsidRDefault="00000000">
      <w:pPr>
        <w:pStyle w:val="Heading2"/>
        <w:spacing w:before="450" w:after="315"/>
        <w:rPr>
          <w:rFonts w:ascii="Google Sans" w:eastAsia="Google Sans" w:hAnsi="Google Sans" w:cs="Google Sans"/>
        </w:rPr>
      </w:pPr>
      <w:r>
        <w:rPr>
          <w:rFonts w:ascii="Google Sans" w:eastAsia="Google Sans" w:hAnsi="Google Sans" w:cs="Google Sans"/>
        </w:rPr>
        <w:lastRenderedPageBreak/>
        <w:t>3. Methodology</w:t>
      </w:r>
    </w:p>
    <w:p w14:paraId="7E448F09" w14:textId="77777777" w:rsidR="001B438B" w:rsidRDefault="00000000">
      <w:pPr>
        <w:pStyle w:val="Heading3"/>
        <w:spacing w:before="0"/>
        <w:rPr>
          <w:rFonts w:ascii="Google Sans" w:eastAsia="Google Sans" w:hAnsi="Google Sans" w:cs="Google Sans"/>
        </w:rPr>
      </w:pPr>
      <w:r>
        <w:pict w14:anchorId="0BD3090C">
          <v:rect id="_x0000_i1027" style="width:0;height:1.5pt" o:hralign="center" o:hrstd="t" o:hr="t" fillcolor="#a0a0a0" stroked="f"/>
        </w:pict>
      </w:r>
      <w:r>
        <w:rPr>
          <w:rFonts w:ascii="Google Sans" w:eastAsia="Google Sans" w:hAnsi="Google Sans" w:cs="Google Sans"/>
        </w:rPr>
        <w:t>3.1 Dataset: RACE</w:t>
      </w:r>
    </w:p>
    <w:p w14:paraId="2730443B" w14:textId="77777777" w:rsidR="001B438B" w:rsidRDefault="00000000">
      <w:pPr>
        <w:pBdr>
          <w:top w:val="nil"/>
          <w:left w:val="nil"/>
          <w:bottom w:val="nil"/>
          <w:right w:val="nil"/>
          <w:between w:val="nil"/>
        </w:pBdr>
        <w:spacing w:after="240" w:line="300" w:lineRule="auto"/>
        <w:rPr>
          <w:rFonts w:ascii="Google Sans" w:eastAsia="Google Sans" w:hAnsi="Google Sans" w:cs="Google Sans"/>
        </w:rPr>
      </w:pPr>
      <w:r>
        <w:rPr>
          <w:rFonts w:ascii="Google Sans" w:eastAsia="Google Sans" w:hAnsi="Google Sans" w:cs="Google Sans"/>
        </w:rPr>
        <w:t xml:space="preserve">The system utilizes the </w:t>
      </w:r>
      <w:proofErr w:type="spellStart"/>
      <w:r>
        <w:rPr>
          <w:rFonts w:ascii="Google Sans" w:eastAsia="Google Sans" w:hAnsi="Google Sans" w:cs="Google Sans"/>
          <w:b/>
          <w:bCs/>
        </w:rPr>
        <w:t>ReAdability</w:t>
      </w:r>
      <w:proofErr w:type="spellEnd"/>
      <w:r>
        <w:rPr>
          <w:rFonts w:ascii="Google Sans" w:eastAsia="Google Sans" w:hAnsi="Google Sans" w:cs="Google Sans"/>
          <w:b/>
          <w:bCs/>
        </w:rPr>
        <w:t xml:space="preserve"> Dataset for Comprehension Evaluation (RACE)</w:t>
      </w:r>
      <w:r>
        <w:rPr>
          <w:rFonts w:ascii="Google Sans" w:eastAsia="Google Sans" w:hAnsi="Google Sans" w:cs="Google Sans"/>
        </w:rPr>
        <w:t>. For Model A, the data was expanded from its original four-option format into a binary dataset where each triplet (Passage, Question, Option) is assigned a label of 1 (Correct) or 0 (Incorrect). This expansion resulted in a total of 351,464 individual labels for training and evaluation.</w:t>
      </w:r>
    </w:p>
    <w:p w14:paraId="78054811" w14:textId="5DF71F63" w:rsidR="00311112" w:rsidRDefault="00311112">
      <w:pPr>
        <w:pBdr>
          <w:top w:val="nil"/>
          <w:left w:val="nil"/>
          <w:bottom w:val="nil"/>
          <w:right w:val="nil"/>
          <w:between w:val="nil"/>
        </w:pBdr>
        <w:spacing w:after="240" w:line="300" w:lineRule="auto"/>
        <w:rPr>
          <w:rFonts w:ascii="Google Sans" w:eastAsia="Google Sans" w:hAnsi="Google Sans" w:cs="Google Sans"/>
        </w:rPr>
      </w:pPr>
      <w:r w:rsidRPr="00311112">
        <w:rPr>
          <w:rFonts w:ascii="Google Sans" w:eastAsia="Google Sans" w:hAnsi="Google Sans" w:cs="Google Sans"/>
        </w:rPr>
        <w:drawing>
          <wp:inline distT="0" distB="0" distL="0" distR="0" wp14:anchorId="6C7BF6FF" wp14:editId="6ABF9343">
            <wp:extent cx="5430008" cy="857370"/>
            <wp:effectExtent l="0" t="0" r="0" b="0"/>
            <wp:docPr id="14587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19619" name=""/>
                    <pic:cNvPicPr/>
                  </pic:nvPicPr>
                  <pic:blipFill>
                    <a:blip r:embed="rId5"/>
                    <a:stretch>
                      <a:fillRect/>
                    </a:stretch>
                  </pic:blipFill>
                  <pic:spPr>
                    <a:xfrm>
                      <a:off x="0" y="0"/>
                      <a:ext cx="5430008" cy="857370"/>
                    </a:xfrm>
                    <a:prstGeom prst="rect">
                      <a:avLst/>
                    </a:prstGeom>
                  </pic:spPr>
                </pic:pic>
              </a:graphicData>
            </a:graphic>
          </wp:inline>
        </w:drawing>
      </w:r>
    </w:p>
    <w:p w14:paraId="01B65DEF" w14:textId="77777777" w:rsidR="001B438B" w:rsidRDefault="00000000">
      <w:pPr>
        <w:pStyle w:val="Heading3"/>
        <w:spacing w:before="0"/>
        <w:rPr>
          <w:rFonts w:ascii="Google Sans" w:eastAsia="Google Sans" w:hAnsi="Google Sans" w:cs="Google Sans"/>
        </w:rPr>
      </w:pPr>
      <w:r>
        <w:rPr>
          <w:rFonts w:ascii="Google Sans" w:eastAsia="Google Sans" w:hAnsi="Google Sans" w:cs="Google Sans"/>
        </w:rPr>
        <w:t>3.2 Feature Engineering</w:t>
      </w:r>
    </w:p>
    <w:p w14:paraId="4C3E4CC6" w14:textId="77777777" w:rsidR="001B438B" w:rsidRDefault="00000000">
      <w:pPr>
        <w:pBdr>
          <w:top w:val="nil"/>
          <w:left w:val="nil"/>
          <w:bottom w:val="nil"/>
          <w:right w:val="nil"/>
          <w:between w:val="nil"/>
        </w:pBdr>
        <w:spacing w:line="300" w:lineRule="auto"/>
        <w:rPr>
          <w:rFonts w:ascii="Google Sans" w:eastAsia="Google Sans" w:hAnsi="Google Sans" w:cs="Google Sans"/>
        </w:rPr>
      </w:pPr>
      <w:r>
        <w:rPr>
          <w:rFonts w:ascii="Google Sans" w:eastAsia="Google Sans" w:hAnsi="Google Sans" w:cs="Google Sans"/>
        </w:rPr>
        <w:t>Textual data was processed through an NLP pipeline including:</w:t>
      </w:r>
    </w:p>
    <w:p w14:paraId="0D14358E" w14:textId="77777777" w:rsidR="001B438B" w:rsidRDefault="00000000">
      <w:pPr>
        <w:numPr>
          <w:ilvl w:val="0"/>
          <w:numId w:val="2"/>
        </w:numPr>
        <w:pBdr>
          <w:top w:val="nil"/>
          <w:left w:val="nil"/>
          <w:bottom w:val="nil"/>
          <w:right w:val="nil"/>
          <w:between w:val="nil"/>
        </w:pBdr>
        <w:spacing w:line="300" w:lineRule="auto"/>
      </w:pPr>
      <w:r>
        <w:rPr>
          <w:rFonts w:ascii="Google Sans" w:eastAsia="Google Sans" w:hAnsi="Google Sans" w:cs="Google Sans"/>
          <w:b/>
          <w:bCs/>
        </w:rPr>
        <w:t>Lemmatization:</w:t>
      </w:r>
      <w:r>
        <w:rPr>
          <w:rFonts w:ascii="Google Sans" w:eastAsia="Google Sans" w:hAnsi="Google Sans" w:cs="Google Sans"/>
        </w:rPr>
        <w:t xml:space="preserve"> Reducing word variations to their root forms using the </w:t>
      </w:r>
      <w:proofErr w:type="spellStart"/>
      <w:r>
        <w:rPr>
          <w:rFonts w:ascii="Google Sans" w:eastAsia="Google Sans" w:hAnsi="Google Sans" w:cs="Google Sans"/>
        </w:rPr>
        <w:t>WordNetLemmatizer</w:t>
      </w:r>
      <w:proofErr w:type="spellEnd"/>
      <w:r>
        <w:rPr>
          <w:rFonts w:ascii="Google Sans" w:eastAsia="Google Sans" w:hAnsi="Google Sans" w:cs="Google Sans"/>
        </w:rPr>
        <w:t xml:space="preserve"> to handle lexical sparsity.</w:t>
      </w:r>
    </w:p>
    <w:p w14:paraId="5B574919" w14:textId="77777777" w:rsidR="001B438B" w:rsidRDefault="00000000">
      <w:pPr>
        <w:numPr>
          <w:ilvl w:val="0"/>
          <w:numId w:val="2"/>
        </w:numPr>
        <w:pBdr>
          <w:top w:val="nil"/>
          <w:left w:val="nil"/>
          <w:bottom w:val="nil"/>
          <w:right w:val="nil"/>
          <w:between w:val="nil"/>
        </w:pBdr>
        <w:spacing w:line="300" w:lineRule="auto"/>
      </w:pPr>
      <w:r>
        <w:rPr>
          <w:rFonts w:ascii="Google Sans" w:eastAsia="Google Sans" w:hAnsi="Google Sans" w:cs="Google Sans"/>
          <w:b/>
          <w:bCs/>
        </w:rPr>
        <w:t>TF-IDF Vectorization:</w:t>
      </w:r>
      <w:r>
        <w:rPr>
          <w:rFonts w:ascii="Google Sans" w:eastAsia="Google Sans" w:hAnsi="Google Sans" w:cs="Google Sans"/>
        </w:rPr>
        <w:t xml:space="preserve"> Converting text into a 30,000-dimensional sparse matrix, utilizing bigrams to capture phrasal context.</w:t>
      </w:r>
    </w:p>
    <w:p w14:paraId="3E9C2CFB" w14:textId="77777777" w:rsidR="001B438B" w:rsidRDefault="00000000">
      <w:pPr>
        <w:numPr>
          <w:ilvl w:val="0"/>
          <w:numId w:val="2"/>
        </w:numPr>
        <w:pBdr>
          <w:top w:val="nil"/>
          <w:left w:val="nil"/>
          <w:bottom w:val="nil"/>
          <w:right w:val="nil"/>
          <w:between w:val="nil"/>
        </w:pBdr>
        <w:spacing w:line="300" w:lineRule="auto"/>
      </w:pPr>
      <w:r>
        <w:rPr>
          <w:rFonts w:ascii="Google Sans" w:eastAsia="Google Sans" w:hAnsi="Google Sans" w:cs="Google Sans"/>
          <w:b/>
          <w:bCs/>
        </w:rPr>
        <w:t>Weighted Query Expansion:</w:t>
      </w:r>
      <w:r>
        <w:rPr>
          <w:rFonts w:ascii="Google Sans" w:eastAsia="Google Sans" w:hAnsi="Google Sans" w:cs="Google Sans"/>
        </w:rPr>
        <w:t xml:space="preserve"> In Model B, the target answer is weighted twice during the retrieval process to ensure high-relevance hint alignment.</w:t>
      </w:r>
    </w:p>
    <w:p w14:paraId="08767E6A" w14:textId="77777777" w:rsidR="001B438B" w:rsidRDefault="00000000">
      <w:pPr>
        <w:pStyle w:val="Heading2"/>
        <w:spacing w:before="450" w:after="315"/>
        <w:rPr>
          <w:rFonts w:ascii="Google Sans" w:eastAsia="Google Sans" w:hAnsi="Google Sans" w:cs="Google Sans"/>
        </w:rPr>
      </w:pPr>
      <w:r>
        <w:rPr>
          <w:rFonts w:ascii="Google Sans" w:eastAsia="Google Sans" w:hAnsi="Google Sans" w:cs="Google Sans"/>
        </w:rPr>
        <w:t>4. Implementation Details</w:t>
      </w:r>
    </w:p>
    <w:p w14:paraId="44DC6B32" w14:textId="77777777" w:rsidR="001B438B" w:rsidRDefault="00000000">
      <w:pPr>
        <w:pStyle w:val="Heading3"/>
        <w:spacing w:before="0"/>
        <w:rPr>
          <w:rFonts w:ascii="Google Sans" w:eastAsia="Google Sans" w:hAnsi="Google Sans" w:cs="Google Sans"/>
        </w:rPr>
      </w:pPr>
      <w:r>
        <w:pict w14:anchorId="3A0EC9C8">
          <v:rect id="_x0000_i1028" style="width:0;height:1.5pt" o:hralign="center" o:hrstd="t" o:hr="t" fillcolor="#a0a0a0" stroked="f"/>
        </w:pict>
      </w:r>
      <w:r>
        <w:rPr>
          <w:rFonts w:ascii="Google Sans" w:eastAsia="Google Sans" w:hAnsi="Google Sans" w:cs="Google Sans"/>
        </w:rPr>
        <w:t>4.1 Model A: The Verifier</w:t>
      </w:r>
    </w:p>
    <w:p w14:paraId="570929F7" w14:textId="77777777" w:rsidR="001B438B" w:rsidRDefault="00000000">
      <w:pPr>
        <w:pBdr>
          <w:top w:val="nil"/>
          <w:left w:val="nil"/>
          <w:bottom w:val="nil"/>
          <w:right w:val="nil"/>
          <w:between w:val="nil"/>
        </w:pBdr>
        <w:spacing w:after="240" w:line="300" w:lineRule="auto"/>
        <w:rPr>
          <w:rFonts w:ascii="Google Sans" w:eastAsia="Google Sans" w:hAnsi="Google Sans" w:cs="Google Sans"/>
        </w:rPr>
      </w:pPr>
      <w:r>
        <w:rPr>
          <w:rFonts w:ascii="Google Sans" w:eastAsia="Google Sans" w:hAnsi="Google Sans" w:cs="Google Sans"/>
        </w:rPr>
        <w:t xml:space="preserve">Model A utilizes </w:t>
      </w:r>
      <w:r>
        <w:rPr>
          <w:rFonts w:ascii="Google Sans" w:eastAsia="Google Sans" w:hAnsi="Google Sans" w:cs="Google Sans"/>
          <w:b/>
          <w:bCs/>
        </w:rPr>
        <w:t>Logistic Regression</w:t>
      </w:r>
      <w:r>
        <w:rPr>
          <w:rFonts w:ascii="Google Sans" w:eastAsia="Google Sans" w:hAnsi="Google Sans" w:cs="Google Sans"/>
        </w:rPr>
        <w:t xml:space="preserve"> (with the SAGA solver) and </w:t>
      </w:r>
      <w:r>
        <w:rPr>
          <w:rFonts w:ascii="Google Sans" w:eastAsia="Google Sans" w:hAnsi="Google Sans" w:cs="Google Sans"/>
          <w:b/>
          <w:bCs/>
        </w:rPr>
        <w:t>Linear SVM</w:t>
      </w:r>
      <w:r>
        <w:rPr>
          <w:rFonts w:ascii="Google Sans" w:eastAsia="Google Sans" w:hAnsi="Google Sans" w:cs="Google Sans"/>
        </w:rPr>
        <w:t xml:space="preserve"> with balanced class weights. This approach prevents the "Accuracy Trap" inherent in the 3:1 imbalanced distribution of the dataset. The models were trained on 351,464 expanded rows, ensuring robust generalization across different reading materials.</w:t>
      </w:r>
    </w:p>
    <w:p w14:paraId="159BC98A" w14:textId="77777777" w:rsidR="001B438B" w:rsidRDefault="00000000">
      <w:pPr>
        <w:pStyle w:val="Heading3"/>
        <w:spacing w:before="0"/>
        <w:rPr>
          <w:rFonts w:ascii="Google Sans" w:eastAsia="Google Sans" w:hAnsi="Google Sans" w:cs="Google Sans"/>
        </w:rPr>
      </w:pPr>
      <w:r>
        <w:rPr>
          <w:rFonts w:ascii="Google Sans" w:eastAsia="Google Sans" w:hAnsi="Google Sans" w:cs="Google Sans"/>
        </w:rPr>
        <w:t>4.2 Model B: The Generator</w:t>
      </w:r>
    </w:p>
    <w:p w14:paraId="148F80B0" w14:textId="77777777" w:rsidR="001B438B" w:rsidRDefault="00000000">
      <w:pPr>
        <w:pBdr>
          <w:top w:val="nil"/>
          <w:left w:val="nil"/>
          <w:bottom w:val="nil"/>
          <w:right w:val="nil"/>
          <w:between w:val="nil"/>
        </w:pBdr>
        <w:spacing w:after="240" w:line="300" w:lineRule="auto"/>
        <w:rPr>
          <w:rFonts w:ascii="Google Sans" w:eastAsia="Google Sans" w:hAnsi="Google Sans" w:cs="Google Sans"/>
        </w:rPr>
      </w:pPr>
      <w:r>
        <w:rPr>
          <w:rFonts w:ascii="Google Sans" w:eastAsia="Google Sans" w:hAnsi="Google Sans" w:cs="Google Sans"/>
        </w:rPr>
        <w:t xml:space="preserve">Model B operates via </w:t>
      </w:r>
      <w:r>
        <w:rPr>
          <w:rFonts w:ascii="Google Sans" w:eastAsia="Google Sans" w:hAnsi="Google Sans" w:cs="Google Sans"/>
          <w:b/>
          <w:bCs/>
        </w:rPr>
        <w:t>Cosine Similarity</w:t>
      </w:r>
      <w:r>
        <w:rPr>
          <w:rFonts w:ascii="Google Sans" w:eastAsia="Google Sans" w:hAnsi="Google Sans" w:cs="Google Sans"/>
        </w:rPr>
        <w:t xml:space="preserve">. It identifies sentences in the article that share </w:t>
      </w:r>
      <w:r>
        <w:rPr>
          <w:rFonts w:ascii="Google Sans" w:eastAsia="Google Sans" w:hAnsi="Google Sans" w:cs="Google Sans"/>
        </w:rPr>
        <w:lastRenderedPageBreak/>
        <w:t>significant semantic space with the correct answer to serve as plausible distractors. The graduated hint logic extracts three sentences based on tiered similarity scores to guide the user from context to explicit evidence.</w:t>
      </w:r>
    </w:p>
    <w:p w14:paraId="60489356" w14:textId="77777777" w:rsidR="001B438B" w:rsidRDefault="00000000">
      <w:pPr>
        <w:pStyle w:val="Heading3"/>
        <w:spacing w:before="0"/>
        <w:rPr>
          <w:rFonts w:ascii="Google Sans" w:eastAsia="Google Sans" w:hAnsi="Google Sans" w:cs="Google Sans"/>
        </w:rPr>
      </w:pPr>
      <w:r>
        <w:rPr>
          <w:rFonts w:ascii="Google Sans" w:eastAsia="Google Sans" w:hAnsi="Google Sans" w:cs="Google Sans"/>
        </w:rPr>
        <w:t>4.3 Technical Stack</w:t>
      </w:r>
    </w:p>
    <w:p w14:paraId="5B493B4F" w14:textId="77777777" w:rsidR="001B438B" w:rsidRDefault="00000000">
      <w:pPr>
        <w:numPr>
          <w:ilvl w:val="0"/>
          <w:numId w:val="3"/>
        </w:numPr>
        <w:pBdr>
          <w:top w:val="nil"/>
          <w:left w:val="nil"/>
          <w:bottom w:val="nil"/>
          <w:right w:val="nil"/>
          <w:between w:val="nil"/>
        </w:pBdr>
        <w:spacing w:line="300" w:lineRule="auto"/>
      </w:pPr>
      <w:r>
        <w:rPr>
          <w:rFonts w:ascii="Google Sans" w:eastAsia="Google Sans" w:hAnsi="Google Sans" w:cs="Google Sans"/>
          <w:b/>
          <w:bCs/>
        </w:rPr>
        <w:t>Languages:</w:t>
      </w:r>
      <w:r>
        <w:rPr>
          <w:rFonts w:ascii="Google Sans" w:eastAsia="Google Sans" w:hAnsi="Google Sans" w:cs="Google Sans"/>
        </w:rPr>
        <w:t xml:space="preserve"> Python 3.10</w:t>
      </w:r>
    </w:p>
    <w:p w14:paraId="23752336" w14:textId="77777777" w:rsidR="001B438B" w:rsidRDefault="00000000">
      <w:pPr>
        <w:numPr>
          <w:ilvl w:val="0"/>
          <w:numId w:val="3"/>
        </w:numPr>
        <w:pBdr>
          <w:top w:val="nil"/>
          <w:left w:val="nil"/>
          <w:bottom w:val="nil"/>
          <w:right w:val="nil"/>
          <w:between w:val="nil"/>
        </w:pBdr>
        <w:spacing w:line="300" w:lineRule="auto"/>
      </w:pPr>
      <w:r>
        <w:rPr>
          <w:rFonts w:ascii="Google Sans" w:eastAsia="Google Sans" w:hAnsi="Google Sans" w:cs="Google Sans"/>
          <w:b/>
          <w:bCs/>
        </w:rPr>
        <w:t>Libraries:</w:t>
      </w:r>
      <w:r>
        <w:rPr>
          <w:rFonts w:ascii="Google Sans" w:eastAsia="Google Sans" w:hAnsi="Google Sans" w:cs="Google Sans"/>
        </w:rPr>
        <w:t xml:space="preserve"> Scikit-Learn, NLTK, Joblib, Pandas</w:t>
      </w:r>
    </w:p>
    <w:p w14:paraId="5FD49C77" w14:textId="77777777" w:rsidR="001B438B" w:rsidRDefault="00000000">
      <w:pPr>
        <w:numPr>
          <w:ilvl w:val="0"/>
          <w:numId w:val="3"/>
        </w:numPr>
        <w:pBdr>
          <w:top w:val="nil"/>
          <w:left w:val="nil"/>
          <w:bottom w:val="nil"/>
          <w:right w:val="nil"/>
          <w:between w:val="nil"/>
        </w:pBdr>
        <w:spacing w:line="300" w:lineRule="auto"/>
      </w:pPr>
      <w:r>
        <w:rPr>
          <w:rFonts w:ascii="Google Sans" w:eastAsia="Google Sans" w:hAnsi="Google Sans" w:cs="Google Sans"/>
          <w:b/>
          <w:bCs/>
        </w:rPr>
        <w:t>Interface:</w:t>
      </w:r>
      <w:r>
        <w:rPr>
          <w:rFonts w:ascii="Google Sans" w:eastAsia="Google Sans" w:hAnsi="Google Sans" w:cs="Google Sans"/>
        </w:rPr>
        <w:t xml:space="preserve"> </w:t>
      </w:r>
      <w:proofErr w:type="spellStart"/>
      <w:r>
        <w:rPr>
          <w:rFonts w:ascii="Google Sans" w:eastAsia="Google Sans" w:hAnsi="Google Sans" w:cs="Google Sans"/>
        </w:rPr>
        <w:t>Streamlit</w:t>
      </w:r>
      <w:proofErr w:type="spellEnd"/>
    </w:p>
    <w:p w14:paraId="7A8376DD" w14:textId="77777777" w:rsidR="001B438B" w:rsidRDefault="00000000">
      <w:pPr>
        <w:numPr>
          <w:ilvl w:val="0"/>
          <w:numId w:val="3"/>
        </w:numPr>
        <w:pBdr>
          <w:top w:val="nil"/>
          <w:left w:val="nil"/>
          <w:bottom w:val="nil"/>
          <w:right w:val="nil"/>
          <w:between w:val="nil"/>
        </w:pBdr>
        <w:spacing w:line="300" w:lineRule="auto"/>
      </w:pPr>
      <w:r>
        <w:rPr>
          <w:rFonts w:ascii="Google Sans" w:eastAsia="Google Sans" w:hAnsi="Google Sans" w:cs="Google Sans"/>
          <w:b/>
          <w:bCs/>
        </w:rPr>
        <w:t>Hardware:</w:t>
      </w:r>
      <w:r>
        <w:rPr>
          <w:rFonts w:ascii="Google Sans" w:eastAsia="Google Sans" w:hAnsi="Google Sans" w:cs="Google Sans"/>
        </w:rPr>
        <w:t xml:space="preserve"> Ryzen 5 5600X, 32GB DDR4 RAM</w:t>
      </w:r>
    </w:p>
    <w:p w14:paraId="2074033C" w14:textId="77777777" w:rsidR="001B438B" w:rsidRDefault="00000000">
      <w:pPr>
        <w:pStyle w:val="Heading2"/>
        <w:spacing w:before="450" w:after="315"/>
        <w:rPr>
          <w:rFonts w:ascii="Google Sans" w:eastAsia="Google Sans" w:hAnsi="Google Sans" w:cs="Google Sans"/>
        </w:rPr>
      </w:pPr>
      <w:r>
        <w:rPr>
          <w:rFonts w:ascii="Google Sans" w:eastAsia="Google Sans" w:hAnsi="Google Sans" w:cs="Google Sans"/>
        </w:rPr>
        <w:t>5. Results and Evaluation</w:t>
      </w:r>
    </w:p>
    <w:p w14:paraId="1DACCD85" w14:textId="77777777" w:rsidR="001B438B" w:rsidRDefault="00000000">
      <w:pPr>
        <w:pStyle w:val="Heading3"/>
        <w:spacing w:before="0"/>
        <w:rPr>
          <w:rFonts w:ascii="Google Sans" w:eastAsia="Google Sans" w:hAnsi="Google Sans" w:cs="Google Sans"/>
          <w:color w:val="2D3748"/>
        </w:rPr>
      </w:pPr>
      <w:r>
        <w:pict w14:anchorId="645FCEE0">
          <v:rect id="_x0000_i1029" style="width:0;height:1.5pt" o:hralign="center" o:hrstd="t" o:hr="t" fillcolor="#a0a0a0" stroked="f"/>
        </w:pict>
      </w:r>
      <w:r w:rsidRPr="00311112">
        <w:rPr>
          <w:rFonts w:ascii="Google Sans" w:eastAsia="Google Sans" w:hAnsi="Google Sans" w:cs="Google Sans"/>
          <w:color w:val="000000" w:themeColor="text1"/>
        </w:rPr>
        <w:t>5.1 Classification Metrics (Model A)</w:t>
      </w:r>
    </w:p>
    <w:p w14:paraId="09552E0D" w14:textId="77777777" w:rsidR="001B438B" w:rsidRDefault="00000000">
      <w:pPr>
        <w:pBdr>
          <w:top w:val="nil"/>
          <w:left w:val="nil"/>
          <w:bottom w:val="nil"/>
          <w:right w:val="nil"/>
          <w:between w:val="nil"/>
        </w:pBdr>
        <w:spacing w:line="300" w:lineRule="auto"/>
        <w:rPr>
          <w:rFonts w:ascii="Google Sans" w:eastAsia="Google Sans" w:hAnsi="Google Sans" w:cs="Google Sans"/>
        </w:rPr>
      </w:pPr>
      <w:r>
        <w:rPr>
          <w:rFonts w:ascii="Google Sans" w:eastAsia="Google Sans" w:hAnsi="Google Sans" w:cs="Google Sans"/>
        </w:rPr>
        <w:t>The system effectively transitioned from a majority-class baseline to a functional predictive model by addressing class imbalance.</w:t>
      </w:r>
    </w:p>
    <w:tbl>
      <w:tblPr>
        <w:tblStyle w:val="a"/>
        <w:tblW w:w="9360" w:type="dxa"/>
        <w:tblInd w:w="0" w:type="dxa"/>
        <w:tblBorders>
          <w:top w:val="single" w:sz="6" w:space="0" w:color="E2E8F0"/>
          <w:left w:val="single" w:sz="6" w:space="0" w:color="E2E8F0"/>
          <w:bottom w:val="single" w:sz="6" w:space="0" w:color="E2E8F0"/>
          <w:right w:val="single" w:sz="6" w:space="0" w:color="E2E8F0"/>
          <w:insideH w:val="single" w:sz="6" w:space="0" w:color="E2E8F0"/>
          <w:insideV w:val="single" w:sz="6" w:space="0" w:color="E2E8F0"/>
        </w:tblBorders>
        <w:tblLayout w:type="fixed"/>
        <w:tblLook w:val="0600" w:firstRow="0" w:lastRow="0" w:firstColumn="0" w:lastColumn="0" w:noHBand="1" w:noVBand="1"/>
      </w:tblPr>
      <w:tblGrid>
        <w:gridCol w:w="4680"/>
        <w:gridCol w:w="4680"/>
      </w:tblGrid>
      <w:tr w:rsidR="001B438B" w14:paraId="6AEF1142" w14:textId="77777777">
        <w:trPr>
          <w:tblHeader/>
        </w:trPr>
        <w:tc>
          <w:tcPr>
            <w:tcW w:w="4680" w:type="dxa"/>
            <w:tcBorders>
              <w:top w:val="single" w:sz="6" w:space="0" w:color="E2E8F0"/>
              <w:left w:val="single" w:sz="6" w:space="0" w:color="E2E8F0"/>
              <w:bottom w:val="single" w:sz="6" w:space="0" w:color="E2E8F0"/>
              <w:right w:val="single" w:sz="6" w:space="0" w:color="E2E8F0"/>
            </w:tcBorders>
            <w:shd w:val="clear" w:color="auto" w:fill="F8FAFC"/>
            <w:tcMar>
              <w:top w:w="180" w:type="dxa"/>
              <w:left w:w="180" w:type="dxa"/>
              <w:bottom w:w="180" w:type="dxa"/>
              <w:right w:w="180" w:type="dxa"/>
            </w:tcMar>
          </w:tcPr>
          <w:p w14:paraId="23D46E2F"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Metric</w:t>
            </w:r>
          </w:p>
        </w:tc>
        <w:tc>
          <w:tcPr>
            <w:tcW w:w="4680" w:type="dxa"/>
            <w:tcBorders>
              <w:top w:val="single" w:sz="6" w:space="0" w:color="E2E8F0"/>
              <w:left w:val="single" w:sz="6" w:space="0" w:color="E2E8F0"/>
              <w:bottom w:val="single" w:sz="6" w:space="0" w:color="E2E8F0"/>
              <w:right w:val="single" w:sz="6" w:space="0" w:color="E2E8F0"/>
            </w:tcBorders>
            <w:shd w:val="clear" w:color="auto" w:fill="F8FAFC"/>
            <w:tcMar>
              <w:top w:w="180" w:type="dxa"/>
              <w:left w:w="180" w:type="dxa"/>
              <w:bottom w:w="180" w:type="dxa"/>
              <w:right w:w="180" w:type="dxa"/>
            </w:tcMar>
          </w:tcPr>
          <w:p w14:paraId="2793C32A"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Result</w:t>
            </w:r>
          </w:p>
          <w:p w14:paraId="6AB2DDAC" w14:textId="77777777" w:rsidR="001B438B" w:rsidRDefault="00000000">
            <w:pPr>
              <w:pBdr>
                <w:top w:val="nil"/>
                <w:left w:val="nil"/>
                <w:bottom w:val="nil"/>
                <w:right w:val="nil"/>
                <w:between w:val="nil"/>
              </w:pBdr>
              <w:rPr>
                <w:rFonts w:ascii="Google Sans" w:eastAsia="Google Sans" w:hAnsi="Google Sans" w:cs="Google Sans"/>
              </w:rPr>
            </w:pPr>
            <w:r>
              <w:rPr>
                <w:rFonts w:ascii="Google Sans" w:eastAsia="Google Sans" w:hAnsi="Google Sans" w:cs="Google Sans"/>
              </w:rPr>
              <w:t xml:space="preserve"> </w:t>
            </w:r>
          </w:p>
        </w:tc>
      </w:tr>
      <w:tr w:rsidR="001B438B" w14:paraId="246F7E3E" w14:textId="77777777">
        <w:tc>
          <w:tcPr>
            <w:tcW w:w="4680" w:type="dxa"/>
            <w:tcBorders>
              <w:top w:val="single" w:sz="6" w:space="0" w:color="E2E8F0"/>
              <w:left w:val="single" w:sz="6" w:space="0" w:color="E2E8F0"/>
              <w:bottom w:val="single" w:sz="6" w:space="0" w:color="E2E8F0"/>
              <w:right w:val="single" w:sz="6" w:space="0" w:color="E2E8F0"/>
            </w:tcBorders>
            <w:tcMar>
              <w:top w:w="180" w:type="dxa"/>
              <w:left w:w="180" w:type="dxa"/>
              <w:bottom w:w="180" w:type="dxa"/>
              <w:right w:w="180" w:type="dxa"/>
            </w:tcMar>
          </w:tcPr>
          <w:p w14:paraId="707601E4"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Overall Accuracy</w:t>
            </w:r>
          </w:p>
        </w:tc>
        <w:tc>
          <w:tcPr>
            <w:tcW w:w="4680" w:type="dxa"/>
            <w:tcBorders>
              <w:top w:val="single" w:sz="6" w:space="0" w:color="E2E8F0"/>
              <w:left w:val="single" w:sz="6" w:space="0" w:color="E2E8F0"/>
              <w:bottom w:val="single" w:sz="6" w:space="0" w:color="E2E8F0"/>
              <w:right w:val="single" w:sz="6" w:space="0" w:color="E2E8F0"/>
            </w:tcBorders>
            <w:tcMar>
              <w:top w:w="180" w:type="dxa"/>
              <w:left w:w="180" w:type="dxa"/>
              <w:bottom w:w="180" w:type="dxa"/>
              <w:right w:w="180" w:type="dxa"/>
            </w:tcMar>
          </w:tcPr>
          <w:p w14:paraId="7A337DD6"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58%</w:t>
            </w:r>
          </w:p>
        </w:tc>
      </w:tr>
      <w:tr w:rsidR="001B438B" w14:paraId="5141E523" w14:textId="77777777">
        <w:tc>
          <w:tcPr>
            <w:tcW w:w="4680" w:type="dxa"/>
            <w:tcBorders>
              <w:top w:val="single" w:sz="6" w:space="0" w:color="E2E8F0"/>
              <w:left w:val="single" w:sz="6" w:space="0" w:color="E2E8F0"/>
              <w:bottom w:val="single" w:sz="6" w:space="0" w:color="E2E8F0"/>
              <w:right w:val="single" w:sz="6" w:space="0" w:color="E2E8F0"/>
            </w:tcBorders>
            <w:shd w:val="clear" w:color="auto" w:fill="F8FAFC"/>
            <w:tcMar>
              <w:top w:w="180" w:type="dxa"/>
              <w:left w:w="180" w:type="dxa"/>
              <w:bottom w:w="180" w:type="dxa"/>
              <w:right w:w="180" w:type="dxa"/>
            </w:tcMar>
          </w:tcPr>
          <w:p w14:paraId="644AE1F8"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Weighted F1-Score</w:t>
            </w:r>
          </w:p>
        </w:tc>
        <w:tc>
          <w:tcPr>
            <w:tcW w:w="4680" w:type="dxa"/>
            <w:tcBorders>
              <w:top w:val="single" w:sz="6" w:space="0" w:color="E2E8F0"/>
              <w:left w:val="single" w:sz="6" w:space="0" w:color="E2E8F0"/>
              <w:bottom w:val="single" w:sz="6" w:space="0" w:color="E2E8F0"/>
              <w:right w:val="single" w:sz="6" w:space="0" w:color="E2E8F0"/>
            </w:tcBorders>
            <w:shd w:val="clear" w:color="auto" w:fill="F8FAFC"/>
            <w:tcMar>
              <w:top w:w="180" w:type="dxa"/>
              <w:left w:w="180" w:type="dxa"/>
              <w:bottom w:w="180" w:type="dxa"/>
              <w:right w:w="180" w:type="dxa"/>
            </w:tcMar>
          </w:tcPr>
          <w:p w14:paraId="27CBD1F1"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0.60</w:t>
            </w:r>
          </w:p>
        </w:tc>
      </w:tr>
      <w:tr w:rsidR="001B438B" w14:paraId="764BF394" w14:textId="77777777">
        <w:tc>
          <w:tcPr>
            <w:tcW w:w="4680" w:type="dxa"/>
            <w:tcBorders>
              <w:top w:val="single" w:sz="6" w:space="0" w:color="E2E8F0"/>
              <w:left w:val="single" w:sz="6" w:space="0" w:color="E2E8F0"/>
              <w:bottom w:val="single" w:sz="6" w:space="0" w:color="E2E8F0"/>
              <w:right w:val="single" w:sz="6" w:space="0" w:color="E2E8F0"/>
            </w:tcBorders>
            <w:tcMar>
              <w:top w:w="180" w:type="dxa"/>
              <w:left w:w="180" w:type="dxa"/>
              <w:bottom w:w="180" w:type="dxa"/>
              <w:right w:w="180" w:type="dxa"/>
            </w:tcMar>
          </w:tcPr>
          <w:p w14:paraId="680060B4"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Class 1 (Correct) Recall</w:t>
            </w:r>
          </w:p>
        </w:tc>
        <w:tc>
          <w:tcPr>
            <w:tcW w:w="4680" w:type="dxa"/>
            <w:tcBorders>
              <w:top w:val="single" w:sz="6" w:space="0" w:color="E2E8F0"/>
              <w:left w:val="single" w:sz="6" w:space="0" w:color="E2E8F0"/>
              <w:bottom w:val="single" w:sz="6" w:space="0" w:color="E2E8F0"/>
              <w:right w:val="single" w:sz="6" w:space="0" w:color="E2E8F0"/>
            </w:tcBorders>
            <w:tcMar>
              <w:top w:w="180" w:type="dxa"/>
              <w:left w:w="180" w:type="dxa"/>
              <w:bottom w:w="180" w:type="dxa"/>
              <w:right w:w="180" w:type="dxa"/>
            </w:tcMar>
          </w:tcPr>
          <w:p w14:paraId="718AD64B"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0.54</w:t>
            </w:r>
          </w:p>
        </w:tc>
      </w:tr>
      <w:tr w:rsidR="001B438B" w14:paraId="2826CB36" w14:textId="77777777">
        <w:tc>
          <w:tcPr>
            <w:tcW w:w="4680" w:type="dxa"/>
            <w:tcBorders>
              <w:top w:val="single" w:sz="6" w:space="0" w:color="E2E8F0"/>
              <w:left w:val="single" w:sz="6" w:space="0" w:color="E2E8F0"/>
              <w:bottom w:val="single" w:sz="6" w:space="0" w:color="E2E8F0"/>
              <w:right w:val="single" w:sz="6" w:space="0" w:color="E2E8F0"/>
            </w:tcBorders>
            <w:shd w:val="clear" w:color="auto" w:fill="F8FAFC"/>
            <w:tcMar>
              <w:top w:w="180" w:type="dxa"/>
              <w:left w:w="180" w:type="dxa"/>
              <w:bottom w:w="180" w:type="dxa"/>
              <w:right w:w="180" w:type="dxa"/>
            </w:tcMar>
          </w:tcPr>
          <w:p w14:paraId="5ACC6A2D"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True Positives (Identified)</w:t>
            </w:r>
          </w:p>
        </w:tc>
        <w:tc>
          <w:tcPr>
            <w:tcW w:w="4680" w:type="dxa"/>
            <w:tcBorders>
              <w:top w:val="single" w:sz="6" w:space="0" w:color="E2E8F0"/>
              <w:left w:val="single" w:sz="6" w:space="0" w:color="E2E8F0"/>
              <w:bottom w:val="single" w:sz="6" w:space="0" w:color="E2E8F0"/>
              <w:right w:val="single" w:sz="6" w:space="0" w:color="E2E8F0"/>
            </w:tcBorders>
            <w:shd w:val="clear" w:color="auto" w:fill="F8FAFC"/>
            <w:tcMar>
              <w:top w:w="180" w:type="dxa"/>
              <w:left w:w="180" w:type="dxa"/>
              <w:bottom w:w="180" w:type="dxa"/>
              <w:right w:w="180" w:type="dxa"/>
            </w:tcMar>
          </w:tcPr>
          <w:p w14:paraId="6F123276"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4,734</w:t>
            </w:r>
          </w:p>
        </w:tc>
      </w:tr>
    </w:tbl>
    <w:p w14:paraId="2A98B0A5" w14:textId="3EBD758B" w:rsidR="00311112" w:rsidRDefault="00311112" w:rsidP="00311112">
      <w:pPr>
        <w:pStyle w:val="Heading3"/>
        <w:spacing w:before="300"/>
        <w:rPr>
          <w:rFonts w:ascii="Google Sans" w:eastAsia="Google Sans" w:hAnsi="Google Sans" w:cs="Google Sans"/>
          <w:color w:val="000000" w:themeColor="text1"/>
        </w:rPr>
      </w:pPr>
      <w:r w:rsidRPr="00EA050A">
        <w:rPr>
          <w:rFonts w:ascii="Google Sans" w:eastAsia="Google Sans" w:hAnsi="Google Sans" w:cs="Google Sans"/>
          <w:noProof/>
          <w:color w:val="1F1F1F"/>
          <w:sz w:val="22"/>
          <w:szCs w:val="22"/>
        </w:rPr>
        <w:lastRenderedPageBreak/>
        <w:drawing>
          <wp:inline distT="0" distB="0" distL="0" distR="0" wp14:anchorId="055339E7" wp14:editId="6420244D">
            <wp:extent cx="3178464" cy="1932317"/>
            <wp:effectExtent l="0" t="0" r="3175" b="0"/>
            <wp:docPr id="36692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21907" name=""/>
                    <pic:cNvPicPr/>
                  </pic:nvPicPr>
                  <pic:blipFill>
                    <a:blip r:embed="rId6"/>
                    <a:stretch>
                      <a:fillRect/>
                    </a:stretch>
                  </pic:blipFill>
                  <pic:spPr>
                    <a:xfrm>
                      <a:off x="0" y="0"/>
                      <a:ext cx="3180172" cy="1933355"/>
                    </a:xfrm>
                    <a:prstGeom prst="rect">
                      <a:avLst/>
                    </a:prstGeom>
                  </pic:spPr>
                </pic:pic>
              </a:graphicData>
            </a:graphic>
          </wp:inline>
        </w:drawing>
      </w:r>
    </w:p>
    <w:p w14:paraId="11A9C328" w14:textId="6AE33C99" w:rsidR="00311112" w:rsidRPr="00311112" w:rsidRDefault="00000000" w:rsidP="00311112">
      <w:pPr>
        <w:pStyle w:val="Heading3"/>
        <w:spacing w:before="300"/>
        <w:rPr>
          <w:rFonts w:ascii="Google Sans" w:eastAsia="Google Sans" w:hAnsi="Google Sans" w:cs="Google Sans"/>
          <w:color w:val="000000" w:themeColor="text1"/>
        </w:rPr>
      </w:pPr>
      <w:r w:rsidRPr="00311112">
        <w:rPr>
          <w:rFonts w:ascii="Google Sans" w:eastAsia="Google Sans" w:hAnsi="Google Sans" w:cs="Google Sans"/>
          <w:color w:val="000000" w:themeColor="text1"/>
        </w:rPr>
        <w:t>5.2 Generation Metrics (Model B)</w:t>
      </w:r>
    </w:p>
    <w:p w14:paraId="28287FFA" w14:textId="77777777" w:rsidR="001B438B" w:rsidRDefault="00000000">
      <w:pPr>
        <w:pBdr>
          <w:top w:val="nil"/>
          <w:left w:val="nil"/>
          <w:bottom w:val="nil"/>
          <w:right w:val="nil"/>
          <w:between w:val="nil"/>
        </w:pBdr>
        <w:spacing w:line="300" w:lineRule="auto"/>
        <w:rPr>
          <w:rFonts w:ascii="Google Sans" w:eastAsia="Google Sans" w:hAnsi="Google Sans" w:cs="Google Sans"/>
        </w:rPr>
      </w:pPr>
      <w:r>
        <w:rPr>
          <w:rFonts w:ascii="Google Sans" w:eastAsia="Google Sans" w:hAnsi="Google Sans" w:cs="Google Sans"/>
        </w:rPr>
        <w:t>Evaluation against human-written distractors in the RACE test set yielded the following scores:</w:t>
      </w:r>
    </w:p>
    <w:tbl>
      <w:tblPr>
        <w:tblStyle w:val="a0"/>
        <w:tblW w:w="9360" w:type="dxa"/>
        <w:tblInd w:w="0" w:type="dxa"/>
        <w:tblBorders>
          <w:top w:val="single" w:sz="6" w:space="0" w:color="E2E8F0"/>
          <w:left w:val="single" w:sz="6" w:space="0" w:color="E2E8F0"/>
          <w:bottom w:val="single" w:sz="6" w:space="0" w:color="E2E8F0"/>
          <w:right w:val="single" w:sz="6" w:space="0" w:color="E2E8F0"/>
          <w:insideH w:val="single" w:sz="6" w:space="0" w:color="E2E8F0"/>
          <w:insideV w:val="single" w:sz="6" w:space="0" w:color="E2E8F0"/>
        </w:tblBorders>
        <w:tblLayout w:type="fixed"/>
        <w:tblLook w:val="0600" w:firstRow="0" w:lastRow="0" w:firstColumn="0" w:lastColumn="0" w:noHBand="1" w:noVBand="1"/>
      </w:tblPr>
      <w:tblGrid>
        <w:gridCol w:w="4680"/>
        <w:gridCol w:w="4680"/>
      </w:tblGrid>
      <w:tr w:rsidR="001B438B" w14:paraId="6BBD24A5" w14:textId="77777777">
        <w:trPr>
          <w:tblHeader/>
        </w:trPr>
        <w:tc>
          <w:tcPr>
            <w:tcW w:w="4680" w:type="dxa"/>
            <w:tcBorders>
              <w:top w:val="single" w:sz="6" w:space="0" w:color="E2E8F0"/>
              <w:left w:val="single" w:sz="6" w:space="0" w:color="E2E8F0"/>
              <w:bottom w:val="single" w:sz="6" w:space="0" w:color="E2E8F0"/>
              <w:right w:val="single" w:sz="6" w:space="0" w:color="E2E8F0"/>
            </w:tcBorders>
            <w:shd w:val="clear" w:color="auto" w:fill="F8FAFC"/>
            <w:tcMar>
              <w:top w:w="180" w:type="dxa"/>
              <w:left w:w="180" w:type="dxa"/>
              <w:bottom w:w="180" w:type="dxa"/>
              <w:right w:w="180" w:type="dxa"/>
            </w:tcMar>
          </w:tcPr>
          <w:p w14:paraId="34C2675F"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NLP Metric</w:t>
            </w:r>
          </w:p>
        </w:tc>
        <w:tc>
          <w:tcPr>
            <w:tcW w:w="4680" w:type="dxa"/>
            <w:tcBorders>
              <w:top w:val="single" w:sz="6" w:space="0" w:color="E2E8F0"/>
              <w:left w:val="single" w:sz="6" w:space="0" w:color="E2E8F0"/>
              <w:bottom w:val="single" w:sz="6" w:space="0" w:color="E2E8F0"/>
              <w:right w:val="single" w:sz="6" w:space="0" w:color="E2E8F0"/>
            </w:tcBorders>
            <w:shd w:val="clear" w:color="auto" w:fill="F8FAFC"/>
            <w:tcMar>
              <w:top w:w="180" w:type="dxa"/>
              <w:left w:w="180" w:type="dxa"/>
              <w:bottom w:w="180" w:type="dxa"/>
              <w:right w:w="180" w:type="dxa"/>
            </w:tcMar>
          </w:tcPr>
          <w:p w14:paraId="21048147"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Score</w:t>
            </w:r>
          </w:p>
          <w:p w14:paraId="44E04B7F" w14:textId="77777777" w:rsidR="001B438B" w:rsidRDefault="00000000">
            <w:pPr>
              <w:pBdr>
                <w:top w:val="nil"/>
                <w:left w:val="nil"/>
                <w:bottom w:val="nil"/>
                <w:right w:val="nil"/>
                <w:between w:val="nil"/>
              </w:pBdr>
              <w:rPr>
                <w:rFonts w:ascii="Google Sans" w:eastAsia="Google Sans" w:hAnsi="Google Sans" w:cs="Google Sans"/>
              </w:rPr>
            </w:pPr>
            <w:r>
              <w:rPr>
                <w:rFonts w:ascii="Google Sans" w:eastAsia="Google Sans" w:hAnsi="Google Sans" w:cs="Google Sans"/>
              </w:rPr>
              <w:t xml:space="preserve"> </w:t>
            </w:r>
          </w:p>
        </w:tc>
      </w:tr>
      <w:tr w:rsidR="001B438B" w14:paraId="3A4E6A4A" w14:textId="77777777">
        <w:tc>
          <w:tcPr>
            <w:tcW w:w="4680" w:type="dxa"/>
            <w:tcBorders>
              <w:top w:val="single" w:sz="6" w:space="0" w:color="E2E8F0"/>
              <w:left w:val="single" w:sz="6" w:space="0" w:color="E2E8F0"/>
              <w:bottom w:val="single" w:sz="6" w:space="0" w:color="E2E8F0"/>
              <w:right w:val="single" w:sz="6" w:space="0" w:color="E2E8F0"/>
            </w:tcBorders>
            <w:tcMar>
              <w:top w:w="180" w:type="dxa"/>
              <w:left w:w="180" w:type="dxa"/>
              <w:bottom w:w="180" w:type="dxa"/>
              <w:right w:w="180" w:type="dxa"/>
            </w:tcMar>
          </w:tcPr>
          <w:p w14:paraId="5233C228"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BLEU</w:t>
            </w:r>
          </w:p>
        </w:tc>
        <w:tc>
          <w:tcPr>
            <w:tcW w:w="4680" w:type="dxa"/>
            <w:tcBorders>
              <w:top w:val="single" w:sz="6" w:space="0" w:color="E2E8F0"/>
              <w:left w:val="single" w:sz="6" w:space="0" w:color="E2E8F0"/>
              <w:bottom w:val="single" w:sz="6" w:space="0" w:color="E2E8F0"/>
              <w:right w:val="single" w:sz="6" w:space="0" w:color="E2E8F0"/>
            </w:tcBorders>
            <w:tcMar>
              <w:top w:w="180" w:type="dxa"/>
              <w:left w:w="180" w:type="dxa"/>
              <w:bottom w:w="180" w:type="dxa"/>
              <w:right w:w="180" w:type="dxa"/>
            </w:tcMar>
          </w:tcPr>
          <w:p w14:paraId="26AC47E2"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0.1026</w:t>
            </w:r>
          </w:p>
        </w:tc>
      </w:tr>
      <w:tr w:rsidR="001B438B" w14:paraId="4B91FF99" w14:textId="77777777">
        <w:tc>
          <w:tcPr>
            <w:tcW w:w="4680" w:type="dxa"/>
            <w:tcBorders>
              <w:top w:val="single" w:sz="6" w:space="0" w:color="E2E8F0"/>
              <w:left w:val="single" w:sz="6" w:space="0" w:color="E2E8F0"/>
              <w:bottom w:val="single" w:sz="6" w:space="0" w:color="E2E8F0"/>
              <w:right w:val="single" w:sz="6" w:space="0" w:color="E2E8F0"/>
            </w:tcBorders>
            <w:shd w:val="clear" w:color="auto" w:fill="F8FAFC"/>
            <w:tcMar>
              <w:top w:w="180" w:type="dxa"/>
              <w:left w:w="180" w:type="dxa"/>
              <w:bottom w:w="180" w:type="dxa"/>
              <w:right w:w="180" w:type="dxa"/>
            </w:tcMar>
          </w:tcPr>
          <w:p w14:paraId="6D5073C5"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ROUGE-L</w:t>
            </w:r>
          </w:p>
        </w:tc>
        <w:tc>
          <w:tcPr>
            <w:tcW w:w="4680" w:type="dxa"/>
            <w:tcBorders>
              <w:top w:val="single" w:sz="6" w:space="0" w:color="E2E8F0"/>
              <w:left w:val="single" w:sz="6" w:space="0" w:color="E2E8F0"/>
              <w:bottom w:val="single" w:sz="6" w:space="0" w:color="E2E8F0"/>
              <w:right w:val="single" w:sz="6" w:space="0" w:color="E2E8F0"/>
            </w:tcBorders>
            <w:shd w:val="clear" w:color="auto" w:fill="F8FAFC"/>
            <w:tcMar>
              <w:top w:w="180" w:type="dxa"/>
              <w:left w:w="180" w:type="dxa"/>
              <w:bottom w:w="180" w:type="dxa"/>
              <w:right w:w="180" w:type="dxa"/>
            </w:tcMar>
          </w:tcPr>
          <w:p w14:paraId="42763312"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0.1040</w:t>
            </w:r>
          </w:p>
        </w:tc>
      </w:tr>
      <w:tr w:rsidR="001B438B" w14:paraId="0D6BAEF8" w14:textId="77777777">
        <w:tc>
          <w:tcPr>
            <w:tcW w:w="4680" w:type="dxa"/>
            <w:tcBorders>
              <w:top w:val="single" w:sz="6" w:space="0" w:color="E2E8F0"/>
              <w:left w:val="single" w:sz="6" w:space="0" w:color="E2E8F0"/>
              <w:bottom w:val="single" w:sz="6" w:space="0" w:color="E2E8F0"/>
              <w:right w:val="single" w:sz="6" w:space="0" w:color="E2E8F0"/>
            </w:tcBorders>
            <w:tcMar>
              <w:top w:w="180" w:type="dxa"/>
              <w:left w:w="180" w:type="dxa"/>
              <w:bottom w:w="180" w:type="dxa"/>
              <w:right w:w="180" w:type="dxa"/>
            </w:tcMar>
          </w:tcPr>
          <w:p w14:paraId="3B07640E"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METEOR</w:t>
            </w:r>
          </w:p>
        </w:tc>
        <w:tc>
          <w:tcPr>
            <w:tcW w:w="4680" w:type="dxa"/>
            <w:tcBorders>
              <w:top w:val="single" w:sz="6" w:space="0" w:color="E2E8F0"/>
              <w:left w:val="single" w:sz="6" w:space="0" w:color="E2E8F0"/>
              <w:bottom w:val="single" w:sz="6" w:space="0" w:color="E2E8F0"/>
              <w:right w:val="single" w:sz="6" w:space="0" w:color="E2E8F0"/>
            </w:tcBorders>
            <w:tcMar>
              <w:top w:w="180" w:type="dxa"/>
              <w:left w:w="180" w:type="dxa"/>
              <w:bottom w:w="180" w:type="dxa"/>
              <w:right w:w="180" w:type="dxa"/>
            </w:tcMar>
          </w:tcPr>
          <w:p w14:paraId="25962DE7" w14:textId="77777777" w:rsidR="001B438B" w:rsidRDefault="00000000">
            <w:pPr>
              <w:pBdr>
                <w:top w:val="nil"/>
                <w:left w:val="nil"/>
                <w:bottom w:val="nil"/>
                <w:right w:val="nil"/>
                <w:between w:val="nil"/>
              </w:pBdr>
              <w:spacing w:before="180" w:after="180"/>
              <w:rPr>
                <w:rFonts w:ascii="Google Sans" w:eastAsia="Google Sans" w:hAnsi="Google Sans" w:cs="Google Sans"/>
              </w:rPr>
            </w:pPr>
            <w:r>
              <w:rPr>
                <w:rFonts w:ascii="Google Sans" w:eastAsia="Google Sans" w:hAnsi="Google Sans" w:cs="Google Sans"/>
              </w:rPr>
              <w:t>0.1776</w:t>
            </w:r>
          </w:p>
        </w:tc>
      </w:tr>
    </w:tbl>
    <w:p w14:paraId="77240E79" w14:textId="77777777" w:rsidR="001B438B" w:rsidRDefault="00000000">
      <w:pPr>
        <w:pStyle w:val="Heading2"/>
        <w:spacing w:before="450" w:after="300"/>
        <w:rPr>
          <w:rFonts w:ascii="Google Sans" w:eastAsia="Google Sans" w:hAnsi="Google Sans" w:cs="Google Sans"/>
        </w:rPr>
      </w:pPr>
      <w:r>
        <w:rPr>
          <w:rFonts w:ascii="Google Sans" w:eastAsia="Google Sans" w:hAnsi="Google Sans" w:cs="Google Sans"/>
        </w:rPr>
        <w:t>6. Discussion</w:t>
      </w:r>
    </w:p>
    <w:p w14:paraId="3D4C2281" w14:textId="77777777" w:rsidR="001B438B" w:rsidRDefault="00000000">
      <w:pPr>
        <w:pBdr>
          <w:top w:val="nil"/>
          <w:left w:val="nil"/>
          <w:bottom w:val="nil"/>
          <w:right w:val="nil"/>
          <w:between w:val="nil"/>
        </w:pBdr>
        <w:spacing w:after="450" w:line="300" w:lineRule="auto"/>
        <w:rPr>
          <w:rFonts w:ascii="Google Sans" w:eastAsia="Google Sans" w:hAnsi="Google Sans" w:cs="Google Sans"/>
        </w:rPr>
      </w:pPr>
      <w:r>
        <w:pict w14:anchorId="4A9063AE">
          <v:rect id="_x0000_i1030" style="width:0;height:1.5pt" o:hralign="center" o:hrstd="t" o:hr="t" fillcolor="#a0a0a0" stroked="f"/>
        </w:pict>
      </w:r>
      <w:r>
        <w:rPr>
          <w:rFonts w:ascii="Google Sans" w:eastAsia="Google Sans" w:hAnsi="Google Sans" w:cs="Google Sans"/>
        </w:rPr>
        <w:t xml:space="preserve">The implementation successfully addressed the </w:t>
      </w:r>
      <w:r>
        <w:rPr>
          <w:rFonts w:ascii="Google Sans" w:eastAsia="Google Sans" w:hAnsi="Google Sans" w:cs="Google Sans"/>
          <w:b/>
          <w:bCs/>
        </w:rPr>
        <w:t>Precision-Recall trade-off</w:t>
      </w:r>
      <w:r>
        <w:rPr>
          <w:rFonts w:ascii="Google Sans" w:eastAsia="Google Sans" w:hAnsi="Google Sans" w:cs="Google Sans"/>
        </w:rPr>
        <w:t xml:space="preserve"> inherent in imbalanced datasets. By lowering the regularization parameter and balancing class weights, the system improved Class 1 recall from 0.00 to 0.54. This signifies a move from a trivial model to one that genuinely identifies textual evidence. Furthermore, total inference time remains under 1.0 second, confirming the viability of TF-IDF pipelines for real-time educational software on consumer hardware.</w:t>
      </w:r>
    </w:p>
    <w:p w14:paraId="2CD49418" w14:textId="77777777" w:rsidR="001B438B" w:rsidRDefault="00000000">
      <w:pPr>
        <w:pStyle w:val="Heading2"/>
        <w:spacing w:before="0" w:after="300"/>
        <w:rPr>
          <w:rFonts w:ascii="Google Sans" w:eastAsia="Google Sans" w:hAnsi="Google Sans" w:cs="Google Sans"/>
        </w:rPr>
      </w:pPr>
      <w:r>
        <w:rPr>
          <w:rFonts w:ascii="Google Sans" w:eastAsia="Google Sans" w:hAnsi="Google Sans" w:cs="Google Sans"/>
        </w:rPr>
        <w:lastRenderedPageBreak/>
        <w:t>7. Conclusion</w:t>
      </w:r>
    </w:p>
    <w:p w14:paraId="72421F67" w14:textId="77777777" w:rsidR="001B438B" w:rsidRDefault="00000000">
      <w:pPr>
        <w:pBdr>
          <w:top w:val="nil"/>
          <w:left w:val="nil"/>
          <w:bottom w:val="nil"/>
          <w:right w:val="nil"/>
          <w:between w:val="nil"/>
        </w:pBdr>
        <w:spacing w:after="450" w:line="300" w:lineRule="auto"/>
        <w:rPr>
          <w:rFonts w:ascii="Google Sans" w:eastAsia="Google Sans" w:hAnsi="Google Sans" w:cs="Google Sans"/>
        </w:rPr>
      </w:pPr>
      <w:r>
        <w:pict w14:anchorId="204CF12A">
          <v:rect id="_x0000_i1031" style="width:0;height:1.5pt" o:hralign="center" o:hrstd="t" o:hr="t" fillcolor="#a0a0a0" stroked="f"/>
        </w:pict>
      </w:r>
      <w:r>
        <w:rPr>
          <w:rFonts w:ascii="Google Sans" w:eastAsia="Google Sans" w:hAnsi="Google Sans" w:cs="Google Sans"/>
        </w:rPr>
        <w:t xml:space="preserve">The Intelligent Reading Comprehension system provides a robust framework for automated testing. By training on the full RACE dataset and optimizing for consumer-grade hardware, the project demonstrates that high-utility AI tools can be developed without massive GPU overhead. </w:t>
      </w:r>
    </w:p>
    <w:p w14:paraId="6DBBA595" w14:textId="587E166D" w:rsidR="001B438B" w:rsidRDefault="00000000">
      <w:pPr>
        <w:pStyle w:val="Heading2"/>
        <w:spacing w:before="0" w:after="300"/>
        <w:rPr>
          <w:rFonts w:ascii="Google Sans" w:eastAsia="Google Sans" w:hAnsi="Google Sans" w:cs="Google Sans"/>
        </w:rPr>
      </w:pPr>
      <w:r>
        <w:rPr>
          <w:rFonts w:ascii="Google Sans" w:eastAsia="Google Sans" w:hAnsi="Google Sans" w:cs="Google Sans"/>
        </w:rPr>
        <w:t>8. Citations</w:t>
      </w:r>
    </w:p>
    <w:p w14:paraId="52CC2603" w14:textId="77777777" w:rsidR="001B438B" w:rsidRDefault="00000000">
      <w:pPr>
        <w:numPr>
          <w:ilvl w:val="0"/>
          <w:numId w:val="4"/>
        </w:numPr>
        <w:pBdr>
          <w:top w:val="nil"/>
          <w:left w:val="nil"/>
          <w:bottom w:val="nil"/>
          <w:right w:val="nil"/>
          <w:between w:val="nil"/>
        </w:pBdr>
        <w:spacing w:line="300" w:lineRule="auto"/>
      </w:pPr>
      <w:r>
        <w:pict w14:anchorId="42CCA1C3">
          <v:rect id="_x0000_i1032" style="width:0;height:1.5pt" o:hralign="center" o:hrstd="t" o:hr="t" fillcolor="#a0a0a0" stroked="f"/>
        </w:pict>
      </w:r>
      <w:r>
        <w:rPr>
          <w:rFonts w:ascii="Google Sans" w:eastAsia="Google Sans" w:hAnsi="Google Sans" w:cs="Google Sans"/>
        </w:rPr>
        <w:t xml:space="preserve">Lai, G., Xie, Q., Liu, H., Yang, Y., &amp; </w:t>
      </w:r>
      <w:proofErr w:type="spellStart"/>
      <w:r>
        <w:rPr>
          <w:rFonts w:ascii="Google Sans" w:eastAsia="Google Sans" w:hAnsi="Google Sans" w:cs="Google Sans"/>
        </w:rPr>
        <w:t>Hovy</w:t>
      </w:r>
      <w:proofErr w:type="spellEnd"/>
      <w:r>
        <w:rPr>
          <w:rFonts w:ascii="Google Sans" w:eastAsia="Google Sans" w:hAnsi="Google Sans" w:cs="Google Sans"/>
        </w:rPr>
        <w:t xml:space="preserve">, E. (2017). RACE: Large-scale </w:t>
      </w:r>
      <w:proofErr w:type="spellStart"/>
      <w:r>
        <w:rPr>
          <w:rFonts w:ascii="Google Sans" w:eastAsia="Google Sans" w:hAnsi="Google Sans" w:cs="Google Sans"/>
        </w:rPr>
        <w:t>ReAdability</w:t>
      </w:r>
      <w:proofErr w:type="spellEnd"/>
      <w:r>
        <w:rPr>
          <w:rFonts w:ascii="Google Sans" w:eastAsia="Google Sans" w:hAnsi="Google Sans" w:cs="Google Sans"/>
        </w:rPr>
        <w:t xml:space="preserve"> Dataset for Comprehension Evaluation from Examinations. </w:t>
      </w:r>
      <w:proofErr w:type="spellStart"/>
      <w:r>
        <w:rPr>
          <w:rFonts w:ascii="Google Sans" w:eastAsia="Google Sans" w:hAnsi="Google Sans" w:cs="Google Sans"/>
        </w:rPr>
        <w:t>arXiv</w:t>
      </w:r>
      <w:proofErr w:type="spellEnd"/>
      <w:r>
        <w:rPr>
          <w:rFonts w:ascii="Google Sans" w:eastAsia="Google Sans" w:hAnsi="Google Sans" w:cs="Google Sans"/>
        </w:rPr>
        <w:t xml:space="preserve"> preprint arXiv:1704.04683.</w:t>
      </w:r>
    </w:p>
    <w:p w14:paraId="7CDB15AE" w14:textId="77777777" w:rsidR="001B438B" w:rsidRDefault="00000000">
      <w:pPr>
        <w:numPr>
          <w:ilvl w:val="0"/>
          <w:numId w:val="4"/>
        </w:numPr>
        <w:pBdr>
          <w:top w:val="nil"/>
          <w:left w:val="nil"/>
          <w:bottom w:val="nil"/>
          <w:right w:val="nil"/>
          <w:between w:val="nil"/>
        </w:pBdr>
        <w:spacing w:line="300" w:lineRule="auto"/>
      </w:pPr>
      <w:r>
        <w:rPr>
          <w:rFonts w:ascii="Google Sans" w:eastAsia="Google Sans" w:hAnsi="Google Sans" w:cs="Google Sans"/>
        </w:rPr>
        <w:t>Pedregosa, F., et al. (2011). Scikit-learn: Machine Learning in Python. Journal of Machine Learning Research, 12, 2825-2830.</w:t>
      </w:r>
    </w:p>
    <w:p w14:paraId="7BDBB72F" w14:textId="77777777" w:rsidR="001B438B" w:rsidRDefault="00000000">
      <w:pPr>
        <w:numPr>
          <w:ilvl w:val="0"/>
          <w:numId w:val="4"/>
        </w:numPr>
        <w:pBdr>
          <w:top w:val="nil"/>
          <w:left w:val="nil"/>
          <w:bottom w:val="nil"/>
          <w:right w:val="nil"/>
          <w:between w:val="nil"/>
        </w:pBdr>
        <w:spacing w:line="300" w:lineRule="auto"/>
      </w:pPr>
      <w:r>
        <w:rPr>
          <w:rFonts w:ascii="Google Sans" w:eastAsia="Google Sans" w:hAnsi="Google Sans" w:cs="Google Sans"/>
        </w:rPr>
        <w:t xml:space="preserve">Loper, E., &amp; Bird, S. (2002). NLTK: The Natural Language Toolkit. </w:t>
      </w:r>
      <w:proofErr w:type="spellStart"/>
      <w:r>
        <w:rPr>
          <w:rFonts w:ascii="Google Sans" w:eastAsia="Google Sans" w:hAnsi="Google Sans" w:cs="Google Sans"/>
        </w:rPr>
        <w:t>arXiv</w:t>
      </w:r>
      <w:proofErr w:type="spellEnd"/>
      <w:r>
        <w:rPr>
          <w:rFonts w:ascii="Google Sans" w:eastAsia="Google Sans" w:hAnsi="Google Sans" w:cs="Google Sans"/>
        </w:rPr>
        <w:t xml:space="preserve"> preprint cs/0205028.</w:t>
      </w:r>
    </w:p>
    <w:sectPr w:rsidR="001B438B">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A2A985A-0499-4247-8D68-341849772F4A}"/>
  </w:font>
  <w:font w:name="Google Sans">
    <w:charset w:val="00"/>
    <w:family w:val="auto"/>
    <w:pitch w:val="default"/>
    <w:embedRegular r:id="rId2" w:fontKey="{8A0DCAB9-080A-441B-9421-0F6F1FF9D7A4}"/>
    <w:embedBold r:id="rId3" w:fontKey="{C5AC3077-9997-427F-A13C-BA95F3458CC2}"/>
  </w:font>
  <w:font w:name="Calibri">
    <w:panose1 w:val="020F0502020204030204"/>
    <w:charset w:val="00"/>
    <w:family w:val="swiss"/>
    <w:pitch w:val="variable"/>
    <w:sig w:usb0="E4002EFF" w:usb1="C200247B" w:usb2="00000009" w:usb3="00000000" w:csb0="000001FF" w:csb1="00000000"/>
    <w:embedRegular r:id="rId4" w:fontKey="{FA676469-70F1-40CA-B7D1-9FD539C8C658}"/>
  </w:font>
  <w:font w:name="Cambria">
    <w:panose1 w:val="02040503050406030204"/>
    <w:charset w:val="00"/>
    <w:family w:val="roman"/>
    <w:pitch w:val="variable"/>
    <w:sig w:usb0="E00006FF" w:usb1="420024FF" w:usb2="02000000" w:usb3="00000000" w:csb0="0000019F" w:csb1="00000000"/>
    <w:embedRegular r:id="rId5" w:fontKey="{87E0D05B-FD11-41BC-9ACE-8A94FB74FFB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A685F"/>
    <w:multiLevelType w:val="multilevel"/>
    <w:tmpl w:val="BA7822C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335F7013"/>
    <w:multiLevelType w:val="multilevel"/>
    <w:tmpl w:val="AC0A8F92"/>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5C64247A"/>
    <w:multiLevelType w:val="multilevel"/>
    <w:tmpl w:val="32C87D1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26F6B75"/>
    <w:multiLevelType w:val="multilevel"/>
    <w:tmpl w:val="474A51A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2458485">
    <w:abstractNumId w:val="0"/>
  </w:num>
  <w:num w:numId="2" w16cid:durableId="1080368730">
    <w:abstractNumId w:val="2"/>
  </w:num>
  <w:num w:numId="3" w16cid:durableId="39864341">
    <w:abstractNumId w:val="3"/>
  </w:num>
  <w:num w:numId="4" w16cid:durableId="11761145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438B"/>
    <w:rsid w:val="001B438B"/>
    <w:rsid w:val="00311112"/>
    <w:rsid w:val="00EF5D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25DAC"/>
  <w15:docId w15:val="{75AF049D-204A-4443-9F8C-430B940E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741</Words>
  <Characters>4225</Characters>
  <Application>Microsoft Office Word</Application>
  <DocSecurity>0</DocSecurity>
  <Lines>35</Lines>
  <Paragraphs>9</Paragraphs>
  <ScaleCrop>false</ScaleCrop>
  <Company/>
  <LinksUpToDate>false</LinksUpToDate>
  <CharactersWithSpaces>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Humayun Bilal</cp:lastModifiedBy>
  <cp:revision>2</cp:revision>
  <dcterms:created xsi:type="dcterms:W3CDTF">2026-05-10T07:09:00Z</dcterms:created>
  <dcterms:modified xsi:type="dcterms:W3CDTF">2026-05-10T07:11:00Z</dcterms:modified>
</cp:coreProperties>
</file>