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4A09" w14:textId="77777777" w:rsidR="008E68E6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Intelligent Reading Comprehension System</w:t>
      </w:r>
    </w:p>
    <w:p w14:paraId="74141974" w14:textId="77777777" w:rsidR="008E68E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Students:</w:t>
      </w:r>
      <w:r>
        <w:rPr>
          <w:rFonts w:ascii="Google Sans" w:eastAsia="Google Sans" w:hAnsi="Google Sans" w:cs="Google Sans"/>
          <w:color w:val="1F1F1F"/>
        </w:rPr>
        <w:t xml:space="preserve"> Humayun Bilal (23i-0832), M. Faheem (23i-0728)</w:t>
      </w:r>
    </w:p>
    <w:p w14:paraId="42215D58" w14:textId="77777777" w:rsidR="008E68E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Section:</w:t>
      </w:r>
      <w:r>
        <w:rPr>
          <w:rFonts w:ascii="Google Sans" w:eastAsia="Google Sans" w:hAnsi="Google Sans" w:cs="Google Sans"/>
          <w:color w:val="1F1F1F"/>
        </w:rPr>
        <w:t xml:space="preserve"> CS-D</w:t>
      </w:r>
    </w:p>
    <w:p w14:paraId="4B2899F5" w14:textId="77777777" w:rsidR="008E68E6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Abstract</w:t>
      </w:r>
    </w:p>
    <w:p w14:paraId="6FA7387F" w14:textId="01D8639E" w:rsidR="008E68E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This project implements an end-to-end Intelligent Reading Comprehension (RC) system using the </w:t>
      </w:r>
      <w:r>
        <w:rPr>
          <w:rFonts w:ascii="Google Sans" w:eastAsia="Google Sans" w:hAnsi="Google Sans" w:cs="Google Sans"/>
          <w:b/>
          <w:bCs/>
          <w:color w:val="1F1F1F"/>
        </w:rPr>
        <w:t>RACE dataset</w:t>
      </w:r>
      <w:r>
        <w:rPr>
          <w:rFonts w:ascii="Google Sans" w:eastAsia="Google Sans" w:hAnsi="Google Sans" w:cs="Google Sans"/>
          <w:color w:val="1F1F1F"/>
        </w:rPr>
        <w:t xml:space="preserve">. The system consists of two primary components: </w:t>
      </w:r>
      <w:r>
        <w:rPr>
          <w:rFonts w:ascii="Google Sans" w:eastAsia="Google Sans" w:hAnsi="Google Sans" w:cs="Google Sans"/>
          <w:b/>
          <w:bCs/>
          <w:color w:val="1F1F1F"/>
        </w:rPr>
        <w:t>Model A</w:t>
      </w:r>
      <w:r>
        <w:rPr>
          <w:rFonts w:ascii="Google Sans" w:eastAsia="Google Sans" w:hAnsi="Google Sans" w:cs="Google Sans"/>
          <w:color w:val="1F1F1F"/>
        </w:rPr>
        <w:t xml:space="preserve">, a supervised classifier and unsupervised clustering tool for answer verification, and </w:t>
      </w:r>
      <w:r>
        <w:rPr>
          <w:rFonts w:ascii="Google Sans" w:eastAsia="Google Sans" w:hAnsi="Google Sans" w:cs="Google Sans"/>
          <w:b/>
          <w:bCs/>
          <w:color w:val="1F1F1F"/>
        </w:rPr>
        <w:t>Model B</w:t>
      </w:r>
      <w:r>
        <w:rPr>
          <w:rFonts w:ascii="Google Sans" w:eastAsia="Google Sans" w:hAnsi="Google Sans" w:cs="Google Sans"/>
          <w:color w:val="1F1F1F"/>
        </w:rPr>
        <w:t xml:space="preserve">, an information retrieval system for generating plausible distractors and graduated hints. The solution is deployed as a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Streamlit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web application, optimized for high-speed inference on standard consumer hardware</w:t>
      </w:r>
      <w:r w:rsidR="00D5168A">
        <w:rPr>
          <w:rFonts w:ascii="Google Sans" w:eastAsia="Google Sans" w:hAnsi="Google Sans" w:cs="Google Sans"/>
          <w:color w:val="1F1F1F"/>
        </w:rPr>
        <w:t>.</w:t>
      </w:r>
    </w:p>
    <w:p w14:paraId="7D2F60EF" w14:textId="77777777" w:rsidR="008E68E6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Methodology</w:t>
      </w:r>
    </w:p>
    <w:p w14:paraId="1DA6BA52" w14:textId="77777777" w:rsidR="008E68E6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2.1 Data Management</w:t>
      </w:r>
    </w:p>
    <w:p w14:paraId="20469B41" w14:textId="77777777" w:rsidR="008E68E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Following the technical requirements, the system utilizes the </w:t>
      </w:r>
      <w:r>
        <w:rPr>
          <w:rFonts w:ascii="Google Sans" w:eastAsia="Google Sans" w:hAnsi="Google Sans" w:cs="Google Sans"/>
          <w:b/>
          <w:bCs/>
          <w:color w:val="1F1F1F"/>
        </w:rPr>
        <w:t>RACE dataset</w:t>
      </w:r>
      <w:r>
        <w:rPr>
          <w:rFonts w:ascii="Google Sans" w:eastAsia="Google Sans" w:hAnsi="Google Sans" w:cs="Google Sans"/>
          <w:color w:val="1F1F1F"/>
        </w:rPr>
        <w:t xml:space="preserve"> (High School and Middle School levels).</w:t>
      </w:r>
    </w:p>
    <w:p w14:paraId="4FBEE0AF" w14:textId="77777777" w:rsidR="008E68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Sampling:</w:t>
      </w:r>
      <w:r>
        <w:rPr>
          <w:rFonts w:ascii="Google Sans" w:eastAsia="Google Sans" w:hAnsi="Google Sans" w:cs="Google Sans"/>
          <w:color w:val="1F1F1F"/>
        </w:rPr>
        <w:t xml:space="preserve"> A subset of 10,000 samples was used to maintain computational efficiency.</w:t>
      </w:r>
    </w:p>
    <w:p w14:paraId="68BE6BC5" w14:textId="77777777" w:rsidR="008E68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Manual Split (80-10-10):</w:t>
      </w:r>
      <w:r>
        <w:rPr>
          <w:rFonts w:ascii="Google Sans" w:eastAsia="Google Sans" w:hAnsi="Google Sans" w:cs="Google Sans"/>
          <w:color w:val="1F1F1F"/>
        </w:rPr>
        <w:t xml:space="preserve"> The raw data was manually partitioned into 80% Training, 10% Validation, and 10% Testing sets using </w:t>
      </w:r>
      <w:proofErr w:type="spellStart"/>
      <w:r>
        <w:rPr>
          <w:rFonts w:ascii="Google Sans" w:eastAsia="Google Sans" w:hAnsi="Google Sans" w:cs="Google Sans"/>
          <w:color w:val="1F1F1F"/>
        </w:rPr>
        <w:t>train_test_split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6C39485E" w14:textId="77777777" w:rsidR="008E68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Expansion:</w:t>
      </w:r>
      <w:r>
        <w:rPr>
          <w:rFonts w:ascii="Google Sans" w:eastAsia="Google Sans" w:hAnsi="Google Sans" w:cs="Google Sans"/>
          <w:color w:val="1F1F1F"/>
        </w:rPr>
        <w:t xml:space="preserve"> Articles were expanded into quadruplets (Article, Question, Option, Label) to facilitate binary classification for Model A.</w:t>
      </w:r>
    </w:p>
    <w:p w14:paraId="294E9166" w14:textId="44DB3899" w:rsidR="001B01BD" w:rsidRDefault="001B01BD" w:rsidP="001B01BD">
      <w:pPr>
        <w:pStyle w:val="NormalWeb"/>
        <w:ind w:left="465"/>
      </w:pPr>
      <w:r>
        <w:rPr>
          <w:noProof/>
        </w:rPr>
        <w:drawing>
          <wp:inline distT="0" distB="0" distL="0" distR="0" wp14:anchorId="1238D4F6" wp14:editId="042B4E16">
            <wp:extent cx="3266878" cy="1959429"/>
            <wp:effectExtent l="0" t="0" r="0" b="3175"/>
            <wp:docPr id="30349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525" cy="196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6580F" w14:textId="77777777" w:rsidR="008E68E6" w:rsidRDefault="00000000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2.2 Feature Engineering (Optimized TF-IDF)</w:t>
      </w:r>
    </w:p>
    <w:p w14:paraId="326D3E8C" w14:textId="77777777" w:rsidR="008E68E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 xml:space="preserve">To convert textual data into numerical vectors, an optimized </w:t>
      </w:r>
      <w:r>
        <w:rPr>
          <w:rFonts w:ascii="Google Sans" w:eastAsia="Google Sans" w:hAnsi="Google Sans" w:cs="Google Sans"/>
          <w:b/>
          <w:bCs/>
          <w:color w:val="1F1F1F"/>
        </w:rPr>
        <w:t>TF-IDF</w:t>
      </w:r>
      <w:r>
        <w:rPr>
          <w:rFonts w:ascii="Google Sans" w:eastAsia="Google Sans" w:hAnsi="Google Sans" w:cs="Google Sans"/>
          <w:color w:val="1F1F1F"/>
        </w:rPr>
        <w:t xml:space="preserve"> pipeline was employed:</w:t>
      </w:r>
    </w:p>
    <w:p w14:paraId="24054785" w14:textId="77777777" w:rsidR="008E68E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Lemmatization:</w:t>
      </w:r>
      <w:r>
        <w:rPr>
          <w:rFonts w:ascii="Google Sans" w:eastAsia="Google Sans" w:hAnsi="Google Sans" w:cs="Google Sans"/>
          <w:color w:val="1F1F1F"/>
        </w:rPr>
        <w:t xml:space="preserve"> Implemented using NLTK’s </w:t>
      </w:r>
      <w:proofErr w:type="spellStart"/>
      <w:r>
        <w:rPr>
          <w:rFonts w:ascii="Google Sans" w:eastAsia="Google Sans" w:hAnsi="Google Sans" w:cs="Google Sans"/>
          <w:color w:val="1F1F1F"/>
        </w:rPr>
        <w:t>WordNetLemmatizer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 reduce words to their dictionary roots (e.g., "better" to "good"). This significantly bridges the lexical gap during retrieval.</w:t>
      </w:r>
    </w:p>
    <w:p w14:paraId="799577CE" w14:textId="77777777" w:rsidR="008E68E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N-gram Range (1, 2):</w:t>
      </w:r>
      <w:r>
        <w:rPr>
          <w:rFonts w:ascii="Google Sans" w:eastAsia="Google Sans" w:hAnsi="Google Sans" w:cs="Google Sans"/>
          <w:color w:val="1F1F1F"/>
        </w:rPr>
        <w:t xml:space="preserve"> Expanded to include bigrams, allowing the model to capture phrases rather than just isolated keywords.</w:t>
      </w:r>
    </w:p>
    <w:p w14:paraId="76220667" w14:textId="77777777" w:rsidR="008E68E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Vocabulary Size:</w:t>
      </w:r>
      <w:r>
        <w:rPr>
          <w:rFonts w:ascii="Google Sans" w:eastAsia="Google Sans" w:hAnsi="Google Sans" w:cs="Google Sans"/>
          <w:color w:val="1F1F1F"/>
        </w:rPr>
        <w:t xml:space="preserve"> Limited to 5,000 features.</w:t>
      </w:r>
    </w:p>
    <w:p w14:paraId="125CA544" w14:textId="77777777" w:rsidR="008E68E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Fitting Constraint:</w:t>
      </w:r>
      <w:r>
        <w:rPr>
          <w:rFonts w:ascii="Google Sans" w:eastAsia="Google Sans" w:hAnsi="Google Sans" w:cs="Google Sans"/>
          <w:color w:val="1F1F1F"/>
        </w:rPr>
        <w:t xml:space="preserve"> The vectorizer was fit </w:t>
      </w:r>
      <w:r>
        <w:rPr>
          <w:rFonts w:ascii="Google Sans" w:eastAsia="Google Sans" w:hAnsi="Google Sans" w:cs="Google Sans"/>
          <w:i/>
          <w:iCs/>
          <w:color w:val="1F1F1F"/>
        </w:rPr>
        <w:t>only</w:t>
      </w:r>
      <w:r>
        <w:rPr>
          <w:rFonts w:ascii="Google Sans" w:eastAsia="Google Sans" w:hAnsi="Google Sans" w:cs="Google Sans"/>
          <w:color w:val="1F1F1F"/>
        </w:rPr>
        <w:t xml:space="preserve"> on the training set to prevent data leakage.</w:t>
      </w:r>
    </w:p>
    <w:p w14:paraId="5C325614" w14:textId="77777777" w:rsidR="001B01BD" w:rsidRDefault="001B01BD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 w:rsidRPr="00732681">
        <w:rPr>
          <w:b w:val="0"/>
          <w:bCs w:val="0"/>
          <w:noProof/>
        </w:rPr>
        <w:drawing>
          <wp:inline distT="0" distB="0" distL="0" distR="0" wp14:anchorId="63DC9ABA" wp14:editId="2128D00D">
            <wp:extent cx="4991797" cy="809738"/>
            <wp:effectExtent l="0" t="0" r="0" b="9525"/>
            <wp:docPr id="210261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15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C26F" w14:textId="40FE7D4B" w:rsidR="008E68E6" w:rsidRDefault="00000000" w:rsidP="001B01BD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2.3 Model A: Supervised &amp; Unsupervised</w:t>
      </w:r>
    </w:p>
    <w:p w14:paraId="29DBE648" w14:textId="0968B9D1" w:rsidR="008E68E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For supervised learning, we implemented </w:t>
      </w:r>
      <w:r>
        <w:rPr>
          <w:rFonts w:ascii="Google Sans" w:eastAsia="Google Sans" w:hAnsi="Google Sans" w:cs="Google Sans"/>
          <w:b/>
          <w:bCs/>
          <w:color w:val="1F1F1F"/>
        </w:rPr>
        <w:t>Logistic Regression</w:t>
      </w:r>
      <w:r>
        <w:rPr>
          <w:rFonts w:ascii="Google Sans" w:eastAsia="Google Sans" w:hAnsi="Google Sans" w:cs="Google Sans"/>
          <w:color w:val="1F1F1F"/>
        </w:rPr>
        <w:t xml:space="preserve"> and </w:t>
      </w:r>
      <w:r>
        <w:rPr>
          <w:rFonts w:ascii="Google Sans" w:eastAsia="Google Sans" w:hAnsi="Google Sans" w:cs="Google Sans"/>
          <w:b/>
          <w:bCs/>
          <w:color w:val="1F1F1F"/>
        </w:rPr>
        <w:t>Linear Support Vector Machines (SVM)</w:t>
      </w:r>
      <w:r>
        <w:rPr>
          <w:rFonts w:ascii="Google Sans" w:eastAsia="Google Sans" w:hAnsi="Google Sans" w:cs="Google Sans"/>
          <w:color w:val="1F1F1F"/>
        </w:rPr>
        <w:t xml:space="preserve"> for binary classification. For the unsupervised task, </w:t>
      </w:r>
      <w:r>
        <w:rPr>
          <w:rFonts w:ascii="Google Sans" w:eastAsia="Google Sans" w:hAnsi="Google Sans" w:cs="Google Sans"/>
          <w:b/>
          <w:bCs/>
          <w:color w:val="1F1F1F"/>
        </w:rPr>
        <w:t>K-Means Clustering</w:t>
      </w:r>
      <w:r>
        <w:rPr>
          <w:rFonts w:ascii="Google Sans" w:eastAsia="Google Sans" w:hAnsi="Google Sans" w:cs="Google Sans"/>
          <w:color w:val="1F1F1F"/>
        </w:rPr>
        <w:t xml:space="preserve"> was applied to the vectorized training data to explore natural groupings.</w:t>
      </w:r>
    </w:p>
    <w:p w14:paraId="741E1658" w14:textId="77777777" w:rsidR="008E68E6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2.4 Model B: Retrieval &amp; Hint Generation</w:t>
      </w:r>
    </w:p>
    <w:p w14:paraId="414C2508" w14:textId="77777777" w:rsidR="008E68E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Model B utilizes </w:t>
      </w:r>
      <w:r>
        <w:rPr>
          <w:rFonts w:ascii="Google Sans" w:eastAsia="Google Sans" w:hAnsi="Google Sans" w:cs="Google Sans"/>
          <w:b/>
          <w:bCs/>
          <w:color w:val="1F1F1F"/>
        </w:rPr>
        <w:t>Cosine Similarity</w:t>
      </w:r>
      <w:r>
        <w:rPr>
          <w:rFonts w:ascii="Google Sans" w:eastAsia="Google Sans" w:hAnsi="Google Sans" w:cs="Google Sans"/>
          <w:color w:val="1F1F1F"/>
        </w:rPr>
        <w:t xml:space="preserve"> to rank sentences within a passage based on their relevance to the correct answer.</w:t>
      </w:r>
    </w:p>
    <w:p w14:paraId="21356F83" w14:textId="77777777" w:rsidR="008E68E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Distractor Generation:</w:t>
      </w:r>
      <w:r>
        <w:rPr>
          <w:rFonts w:ascii="Google Sans" w:eastAsia="Google Sans" w:hAnsi="Google Sans" w:cs="Google Sans"/>
          <w:color w:val="1F1F1F"/>
        </w:rPr>
        <w:t xml:space="preserve"> Extracts </w:t>
      </w:r>
      <w:proofErr w:type="gramStart"/>
      <w:r>
        <w:rPr>
          <w:rFonts w:ascii="Google Sans" w:eastAsia="Google Sans" w:hAnsi="Google Sans" w:cs="Google Sans"/>
          <w:color w:val="1F1F1F"/>
        </w:rPr>
        <w:t>sentences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with high semantic similarity to the answer that are not exact matches.</w:t>
      </w:r>
    </w:p>
    <w:p w14:paraId="1A03B2A2" w14:textId="77777777" w:rsidR="008E68E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Graduated Hints:</w:t>
      </w:r>
      <w:r>
        <w:rPr>
          <w:rFonts w:ascii="Google Sans" w:eastAsia="Google Sans" w:hAnsi="Google Sans" w:cs="Google Sans"/>
          <w:color w:val="1F1F1F"/>
        </w:rPr>
        <w:t xml:space="preserve"> A three-stage pipeline providing context-based clues:</w:t>
      </w:r>
    </w:p>
    <w:p w14:paraId="1AE8B39E" w14:textId="77777777" w:rsidR="008E68E6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General:</w:t>
      </w:r>
      <w:r>
        <w:rPr>
          <w:rFonts w:ascii="Google Sans" w:eastAsia="Google Sans" w:hAnsi="Google Sans" w:cs="Google Sans"/>
          <w:color w:val="1F1F1F"/>
        </w:rPr>
        <w:t xml:space="preserve"> Low-relevance contextual sentence.</w:t>
      </w:r>
    </w:p>
    <w:p w14:paraId="6C3F61CD" w14:textId="77777777" w:rsidR="008E68E6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Intermediate:</w:t>
      </w:r>
      <w:r>
        <w:rPr>
          <w:rFonts w:ascii="Google Sans" w:eastAsia="Google Sans" w:hAnsi="Google Sans" w:cs="Google Sans"/>
          <w:color w:val="1F1F1F"/>
        </w:rPr>
        <w:t xml:space="preserve"> Median-relevance supporting detail.</w:t>
      </w:r>
    </w:p>
    <w:p w14:paraId="5697F885" w14:textId="77777777" w:rsidR="008E68E6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Near-Explicit:</w:t>
      </w:r>
      <w:r>
        <w:rPr>
          <w:rFonts w:ascii="Google Sans" w:eastAsia="Google Sans" w:hAnsi="Google Sans" w:cs="Google Sans"/>
          <w:color w:val="1F1F1F"/>
        </w:rPr>
        <w:t xml:space="preserve"> Maximum similarity evidence sentence.</w:t>
      </w:r>
    </w:p>
    <w:p w14:paraId="1F25FAAF" w14:textId="77777777" w:rsidR="008E68E6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Results and Analysis</w:t>
      </w:r>
    </w:p>
    <w:p w14:paraId="0F0EC26D" w14:textId="77777777" w:rsidR="008E68E6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3.1 Model B: NLP Generation Metrics</w:t>
      </w:r>
    </w:p>
    <w:p w14:paraId="48C2E47B" w14:textId="77C42A4E" w:rsidR="00D5168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Model B (Generation Task) was evaluated using standard NLP metrics to measure the similarity between generated distractors and human-written references.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E68E6" w14:paraId="24A25EE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88C429" w14:textId="77777777" w:rsidR="008E68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Metric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DA37FA" w14:textId="77777777" w:rsidR="008E68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Score</w:t>
            </w:r>
          </w:p>
        </w:tc>
      </w:tr>
      <w:tr w:rsidR="008E68E6" w14:paraId="705C420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2022D5" w14:textId="77777777" w:rsidR="008E68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BLEU Score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E50777" w14:textId="77777777" w:rsidR="008E68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0.1026</w:t>
            </w:r>
          </w:p>
        </w:tc>
      </w:tr>
      <w:tr w:rsidR="008E68E6" w14:paraId="27C7A37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5D4881" w14:textId="77777777" w:rsidR="008E68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ROUGE-L Score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B3476A" w14:textId="77777777" w:rsidR="008E68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0.1040</w:t>
            </w:r>
          </w:p>
        </w:tc>
      </w:tr>
      <w:tr w:rsidR="008E68E6" w14:paraId="6A81B828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D622A8" w14:textId="77777777" w:rsidR="008E68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METEOR Score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FC637F" w14:textId="77777777" w:rsidR="008E68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0.1776</w:t>
            </w:r>
          </w:p>
        </w:tc>
      </w:tr>
    </w:tbl>
    <w:p w14:paraId="3C19A4F0" w14:textId="77777777" w:rsidR="001B01BD" w:rsidRDefault="001B01BD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6B054F0D" w14:textId="11AD3011" w:rsidR="008E68E6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3.2 Model A: Classification &amp; Clustering</w:t>
      </w:r>
    </w:p>
    <w:p w14:paraId="45B68FAC" w14:textId="77777777" w:rsidR="008E68E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Supervised models were evaluated on the manual validation set.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E68E6" w14:paraId="4BBA68C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B28D55" w14:textId="77777777" w:rsidR="008E68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Model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E4B32B" w14:textId="77777777" w:rsidR="008E68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Accuracy</w:t>
            </w:r>
          </w:p>
        </w:tc>
      </w:tr>
      <w:tr w:rsidR="008E68E6" w14:paraId="3754645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52E400" w14:textId="77777777" w:rsidR="008E68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Logistic Regression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01ACF2" w14:textId="77777777" w:rsidR="008E68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75.00%</w:t>
            </w:r>
          </w:p>
        </w:tc>
      </w:tr>
      <w:tr w:rsidR="008E68E6" w14:paraId="197AA3CD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99CEFF" w14:textId="77777777" w:rsidR="008E68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Linear SVM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A6D65E" w14:textId="77777777" w:rsidR="008E68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75.00%</w:t>
            </w:r>
          </w:p>
        </w:tc>
      </w:tr>
    </w:tbl>
    <w:p w14:paraId="10EAA62C" w14:textId="77777777" w:rsidR="008E68E6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Unsupervised Metric:</w:t>
      </w:r>
    </w:p>
    <w:p w14:paraId="14F5B064" w14:textId="43809945" w:rsidR="008E68E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Silhouette Score:</w:t>
      </w:r>
      <w:r>
        <w:rPr>
          <w:rFonts w:ascii="Google Sans" w:eastAsia="Google Sans" w:hAnsi="Google Sans" w:cs="Google Sans"/>
          <w:color w:val="1F1F1F"/>
        </w:rPr>
        <w:t xml:space="preserve"> 0.00</w:t>
      </w:r>
      <w:r w:rsidR="001B01BD">
        <w:rPr>
          <w:rFonts w:ascii="Google Sans" w:eastAsia="Google Sans" w:hAnsi="Google Sans" w:cs="Google Sans"/>
          <w:color w:val="1F1F1F"/>
        </w:rPr>
        <w:t>88</w:t>
      </w:r>
      <w:r>
        <w:rPr>
          <w:rFonts w:ascii="Google Sans" w:eastAsia="Google Sans" w:hAnsi="Google Sans" w:cs="Google Sans"/>
          <w:color w:val="1F1F1F"/>
        </w:rPr>
        <w:t xml:space="preserve"> (Indicates high degree of textual overlap in raw features).</w:t>
      </w:r>
    </w:p>
    <w:p w14:paraId="307CADF7" w14:textId="77777777" w:rsidR="008E68E6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System Implementation (UI)</w:t>
      </w:r>
    </w:p>
    <w:p w14:paraId="3A2ABB11" w14:textId="77777777" w:rsidR="008E68E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The system is deployed via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Streamlit</w:t>
      </w:r>
      <w:proofErr w:type="spellEnd"/>
      <w:r>
        <w:rPr>
          <w:rFonts w:ascii="Google Sans" w:eastAsia="Google Sans" w:hAnsi="Google Sans" w:cs="Google Sans"/>
          <w:color w:val="1F1F1F"/>
        </w:rPr>
        <w:t>. Key features include:</w:t>
      </w:r>
    </w:p>
    <w:p w14:paraId="145748F4" w14:textId="4F90A62F" w:rsidR="008E68E6" w:rsidRDefault="001B01B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B01BD">
        <w:rPr>
          <w:rFonts w:ascii="Google Sans" w:eastAsia="Google Sans" w:hAnsi="Google Sans" w:cs="Google Sans"/>
          <w:b/>
          <w:bCs/>
          <w:color w:val="1F1F1F"/>
        </w:rPr>
        <w:drawing>
          <wp:anchor distT="0" distB="0" distL="114300" distR="114300" simplePos="0" relativeHeight="251658240" behindDoc="0" locked="0" layoutInCell="1" allowOverlap="1" wp14:anchorId="0C784226" wp14:editId="6F0A960C">
            <wp:simplePos x="0" y="0"/>
            <wp:positionH relativeFrom="margin">
              <wp:align>right</wp:align>
            </wp:positionH>
            <wp:positionV relativeFrom="paragraph">
              <wp:posOffset>469265</wp:posOffset>
            </wp:positionV>
            <wp:extent cx="5943600" cy="2340610"/>
            <wp:effectExtent l="0" t="0" r="0" b="2540"/>
            <wp:wrapThrough wrapText="bothSides">
              <wp:wrapPolygon edited="0">
                <wp:start x="0" y="0"/>
                <wp:lineTo x="0" y="21448"/>
                <wp:lineTo x="21531" y="21448"/>
                <wp:lineTo x="21531" y="0"/>
                <wp:lineTo x="0" y="0"/>
              </wp:wrapPolygon>
            </wp:wrapThrough>
            <wp:docPr id="182053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3634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Google Sans" w:eastAsia="Google Sans" w:hAnsi="Google Sans" w:cs="Google Sans"/>
          <w:b/>
          <w:bCs/>
          <w:color w:val="1F1F1F"/>
        </w:rPr>
        <w:t>Session State Management:</w:t>
      </w:r>
      <w:r w:rsidR="00000000">
        <w:rPr>
          <w:rFonts w:ascii="Google Sans" w:eastAsia="Google Sans" w:hAnsi="Google Sans" w:cs="Google Sans"/>
          <w:color w:val="1F1F1F"/>
        </w:rPr>
        <w:t xml:space="preserve"> Ensures article selection and quiz options persist during hint retrieval.</w:t>
      </w:r>
    </w:p>
    <w:p w14:paraId="739680F2" w14:textId="767FC267" w:rsidR="008E68E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Interactive Hint Panel:</w:t>
      </w:r>
      <w:r>
        <w:rPr>
          <w:rFonts w:ascii="Google Sans" w:eastAsia="Google Sans" w:hAnsi="Google Sans" w:cs="Google Sans"/>
          <w:color w:val="1F1F1F"/>
        </w:rPr>
        <w:t xml:space="preserve"> Users can reveal graduated hints step-by-step.</w:t>
      </w:r>
    </w:p>
    <w:p w14:paraId="6FDDA89D" w14:textId="5F843876" w:rsidR="008E68E6" w:rsidRPr="001B01B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Developer Dashboard:</w:t>
      </w:r>
      <w:r>
        <w:rPr>
          <w:rFonts w:ascii="Google Sans" w:eastAsia="Google Sans" w:hAnsi="Google Sans" w:cs="Google Sans"/>
          <w:color w:val="1F1F1F"/>
        </w:rPr>
        <w:t xml:space="preserve"> Real-time display of NLP metrics and checkpoint status.</w:t>
      </w:r>
    </w:p>
    <w:p w14:paraId="1C5B321B" w14:textId="081B81B1" w:rsidR="001B01BD" w:rsidRDefault="001B01BD" w:rsidP="001B01B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05"/>
      </w:pPr>
      <w:r w:rsidRPr="001B01BD">
        <w:lastRenderedPageBreak/>
        <w:drawing>
          <wp:inline distT="0" distB="0" distL="0" distR="0" wp14:anchorId="224B0D1D" wp14:editId="48548F4F">
            <wp:extent cx="5943600" cy="1918970"/>
            <wp:effectExtent l="0" t="0" r="0" b="5080"/>
            <wp:docPr id="201365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51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65A5" w14:textId="77777777" w:rsidR="008E68E6" w:rsidRDefault="00000000">
      <w:pPr>
        <w:pStyle w:val="Heading2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Discussion</w:t>
      </w:r>
    </w:p>
    <w:p w14:paraId="7EBB26A8" w14:textId="77777777" w:rsidR="008E68E6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5.1 Technical Constraint Compliance (10.1) &amp; Checkpointing</w:t>
      </w:r>
    </w:p>
    <w:p w14:paraId="6CC6F251" w14:textId="19A78D59" w:rsidR="008E68E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Compute Efficiency:</w:t>
      </w:r>
      <w:r>
        <w:rPr>
          <w:rFonts w:ascii="Google Sans" w:eastAsia="Google Sans" w:hAnsi="Google Sans" w:cs="Google Sans"/>
          <w:color w:val="1F1F1F"/>
        </w:rPr>
        <w:t xml:space="preserve"> By utilizing traditional ML (LR/SVM), the training process avoids VRAM exhaustion, completing in seconds on </w:t>
      </w:r>
      <w:r w:rsidR="001B01BD">
        <w:rPr>
          <w:rFonts w:ascii="Google Sans" w:eastAsia="Google Sans" w:hAnsi="Google Sans" w:cs="Google Sans"/>
          <w:color w:val="1F1F1F"/>
        </w:rPr>
        <w:t>a</w:t>
      </w:r>
      <w:r>
        <w:rPr>
          <w:rFonts w:ascii="Google Sans" w:eastAsia="Google Sans" w:hAnsi="Google Sans" w:cs="Google Sans"/>
          <w:color w:val="1F1F1F"/>
        </w:rPr>
        <w:t xml:space="preserve"> laptop.</w:t>
      </w:r>
    </w:p>
    <w:p w14:paraId="274AEDDC" w14:textId="77777777" w:rsidR="008E68E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Model Checkpointing:</w:t>
      </w:r>
      <w:r>
        <w:rPr>
          <w:rFonts w:ascii="Google Sans" w:eastAsia="Google Sans" w:hAnsi="Google Sans" w:cs="Google Sans"/>
          <w:color w:val="1F1F1F"/>
        </w:rPr>
        <w:t xml:space="preserve"> The system utilizes checkpoints by serializing </w:t>
      </w:r>
      <w:proofErr w:type="spellStart"/>
      <w:r>
        <w:rPr>
          <w:rFonts w:ascii="Google Sans" w:eastAsia="Google Sans" w:hAnsi="Google Sans" w:cs="Google Sans"/>
          <w:color w:val="1F1F1F"/>
        </w:rPr>
        <w:t>tfidf_vectorizer.pkl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</w:t>
      </w:r>
      <w:proofErr w:type="spellStart"/>
      <w:r>
        <w:rPr>
          <w:rFonts w:ascii="Google Sans" w:eastAsia="Google Sans" w:hAnsi="Google Sans" w:cs="Google Sans"/>
          <w:color w:val="1F1F1F"/>
        </w:rPr>
        <w:t>model_a_svm.pkl</w:t>
      </w:r>
      <w:proofErr w:type="spellEnd"/>
      <w:r>
        <w:rPr>
          <w:rFonts w:ascii="Google Sans" w:eastAsia="Google Sans" w:hAnsi="Google Sans" w:cs="Google Sans"/>
          <w:color w:val="1F1F1F"/>
        </w:rPr>
        <w:t>. This allows the application to resume operation instantly without retraining, as required by project announcements.</w:t>
      </w:r>
    </w:p>
    <w:p w14:paraId="0093E213" w14:textId="77777777" w:rsidR="008E68E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Inference Speed:</w:t>
      </w:r>
      <w:r>
        <w:rPr>
          <w:rFonts w:ascii="Google Sans" w:eastAsia="Google Sans" w:hAnsi="Google Sans" w:cs="Google Sans"/>
          <w:color w:val="1F1F1F"/>
        </w:rPr>
        <w:t xml:space="preserve"> Total inference time is </w:t>
      </w:r>
      <w:r>
        <w:rPr>
          <w:rFonts w:ascii="Google Sans" w:eastAsia="Google Sans" w:hAnsi="Google Sans" w:cs="Google Sans"/>
          <w:b/>
          <w:bCs/>
          <w:color w:val="1F1F1F"/>
        </w:rPr>
        <w:t>&lt;1.0 seconds</w:t>
      </w:r>
      <w:r>
        <w:rPr>
          <w:rFonts w:ascii="Google Sans" w:eastAsia="Google Sans" w:hAnsi="Google Sans" w:cs="Google Sans"/>
          <w:color w:val="1F1F1F"/>
        </w:rPr>
        <w:t>, well within the 10-second limit.</w:t>
      </w:r>
    </w:p>
    <w:p w14:paraId="44549B83" w14:textId="77777777" w:rsidR="008E68E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5.2 Interpretability</w:t>
      </w:r>
    </w:p>
    <w:p w14:paraId="7CDEDBA9" w14:textId="77777777" w:rsidR="008E68E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TF-IDF approach allows for feature importance analysis, providing a "White Box" alternative to neural models where the relationship between the passage and the retrieved distractor is mathematically traceable.</w:t>
      </w:r>
    </w:p>
    <w:p w14:paraId="0C9DDD5B" w14:textId="77777777" w:rsidR="008E68E6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Limitations and Future Work</w:t>
      </w:r>
    </w:p>
    <w:p w14:paraId="1F41A262" w14:textId="5BC9ED4A" w:rsidR="008E68E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Lexical Limits:</w:t>
      </w:r>
      <w:r>
        <w:rPr>
          <w:rFonts w:ascii="Google Sans" w:eastAsia="Google Sans" w:hAnsi="Google Sans" w:cs="Google Sans"/>
          <w:color w:val="1F1F1F"/>
        </w:rPr>
        <w:t xml:space="preserve"> While lemmatization helps, the model still relies on word overlap. Future work could include using lightweight </w:t>
      </w:r>
      <w:r w:rsidR="001B01BD">
        <w:rPr>
          <w:rFonts w:ascii="Google Sans" w:eastAsia="Google Sans" w:hAnsi="Google Sans" w:cs="Google Sans"/>
          <w:color w:val="1F1F1F"/>
        </w:rPr>
        <w:t>LLM</w:t>
      </w:r>
      <w:r>
        <w:rPr>
          <w:rFonts w:ascii="Google Sans" w:eastAsia="Google Sans" w:hAnsi="Google Sans" w:cs="Google Sans"/>
          <w:color w:val="1F1F1F"/>
        </w:rPr>
        <w:t xml:space="preserve"> embeddings for deeper semantic search.</w:t>
      </w:r>
    </w:p>
    <w:p w14:paraId="33FF5787" w14:textId="77777777" w:rsidR="008E68E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Topic Modeling:</w:t>
      </w:r>
      <w:r>
        <w:rPr>
          <w:rFonts w:ascii="Google Sans" w:eastAsia="Google Sans" w:hAnsi="Google Sans" w:cs="Google Sans"/>
          <w:color w:val="1F1F1F"/>
        </w:rPr>
        <w:t xml:space="preserve"> K-Means showed significant overlap; </w:t>
      </w:r>
      <w:r>
        <w:rPr>
          <w:rFonts w:ascii="Google Sans" w:eastAsia="Google Sans" w:hAnsi="Google Sans" w:cs="Google Sans"/>
          <w:b/>
          <w:bCs/>
          <w:color w:val="1F1F1F"/>
        </w:rPr>
        <w:t>Latent Dirichlet Allocation (LDA)</w:t>
      </w:r>
      <w:r>
        <w:rPr>
          <w:rFonts w:ascii="Google Sans" w:eastAsia="Google Sans" w:hAnsi="Google Sans" w:cs="Google Sans"/>
          <w:color w:val="1F1F1F"/>
        </w:rPr>
        <w:t xml:space="preserve"> might provide better unsupervised topic discovery.</w:t>
      </w:r>
    </w:p>
    <w:p w14:paraId="65CDAC49" w14:textId="77777777" w:rsidR="008E68E6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7. Conclusion</w:t>
      </w:r>
    </w:p>
    <w:p w14:paraId="1E5748FC" w14:textId="77777777" w:rsidR="008E68E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Intelligent RC System successfully automates the generation and evaluation of comprehension quizzes. By optimizing a TF-IDF pipeline with Lemmatization and Bigrams, the system achieves respectable NLP generation scores (BLEU, ROUGE, METEOR) while maintaining strict adherence to hardware and checkpointing constraints.</w:t>
      </w:r>
    </w:p>
    <w:sectPr w:rsidR="008E68E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D5DDE03-3E0B-4C60-9A63-253781C88635}"/>
  </w:font>
  <w:font w:name="Google Sans">
    <w:altName w:val="Calibri"/>
    <w:charset w:val="00"/>
    <w:family w:val="auto"/>
    <w:pitch w:val="default"/>
    <w:embedRegular r:id="rId2" w:fontKey="{4FC50359-A756-4841-9765-BBC707A7607E}"/>
    <w:embedBold r:id="rId3" w:fontKey="{C3700313-E1DB-46D2-9B07-4118FFC610C7}"/>
    <w:embedItalic r:id="rId4" w:fontKey="{DC26F68F-13AE-4315-AB5C-3D146041EB1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091ABC6-A727-4F9F-8F1B-96DD15CE43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7F1DBA1-1713-4057-9245-B79D96C5C1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34.6pt;height:17.75pt;visibility:visible;mso-wrap-style:square" o:bullet="t">
        <v:imagedata r:id="rId1" o:title=""/>
      </v:shape>
    </w:pict>
  </w:numPicBullet>
  <w:abstractNum w:abstractNumId="0" w15:restartNumberingAfterBreak="0">
    <w:nsid w:val="15021A59"/>
    <w:multiLevelType w:val="multilevel"/>
    <w:tmpl w:val="173C9A7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70A104B"/>
    <w:multiLevelType w:val="multilevel"/>
    <w:tmpl w:val="9202BB9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F102784"/>
    <w:multiLevelType w:val="multilevel"/>
    <w:tmpl w:val="4BC087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FAD31A9"/>
    <w:multiLevelType w:val="multilevel"/>
    <w:tmpl w:val="9B56DAC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3E1044D"/>
    <w:multiLevelType w:val="multilevel"/>
    <w:tmpl w:val="74C8AD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9693CA1"/>
    <w:multiLevelType w:val="hybridMultilevel"/>
    <w:tmpl w:val="4C9A2DDC"/>
    <w:lvl w:ilvl="0" w:tplc="A66ACAE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6DEC67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47CABA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D6E5D5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C08D05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E9CE2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462138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5EBB1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2E03F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6B6C4B7F"/>
    <w:multiLevelType w:val="multilevel"/>
    <w:tmpl w:val="1164AB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0C457C5"/>
    <w:multiLevelType w:val="multilevel"/>
    <w:tmpl w:val="D50A600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278456A"/>
    <w:multiLevelType w:val="multilevel"/>
    <w:tmpl w:val="47305A5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84188563">
    <w:abstractNumId w:val="8"/>
  </w:num>
  <w:num w:numId="2" w16cid:durableId="1506285925">
    <w:abstractNumId w:val="2"/>
  </w:num>
  <w:num w:numId="3" w16cid:durableId="936138759">
    <w:abstractNumId w:val="7"/>
  </w:num>
  <w:num w:numId="4" w16cid:durableId="853300227">
    <w:abstractNumId w:val="6"/>
  </w:num>
  <w:num w:numId="5" w16cid:durableId="1630814846">
    <w:abstractNumId w:val="1"/>
  </w:num>
  <w:num w:numId="6" w16cid:durableId="581112331">
    <w:abstractNumId w:val="0"/>
  </w:num>
  <w:num w:numId="7" w16cid:durableId="1057896200">
    <w:abstractNumId w:val="3"/>
  </w:num>
  <w:num w:numId="8" w16cid:durableId="1830099106">
    <w:abstractNumId w:val="4"/>
  </w:num>
  <w:num w:numId="9" w16cid:durableId="18421606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8E6"/>
    <w:rsid w:val="001B01BD"/>
    <w:rsid w:val="008E68E6"/>
    <w:rsid w:val="00D5168A"/>
    <w:rsid w:val="00E910EC"/>
    <w:rsid w:val="00F0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C5687"/>
  <w15:docId w15:val="{7C51EC80-D3CE-4927-8C3B-C14DA15B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1B01BD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718</Words>
  <Characters>4095</Characters>
  <Application>Microsoft Office Word</Application>
  <DocSecurity>0</DocSecurity>
  <Lines>34</Lines>
  <Paragraphs>9</Paragraphs>
  <ScaleCrop>false</ScaleCrop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Humayun</dc:creator>
  <cp:lastModifiedBy>Humayun Bilal</cp:lastModifiedBy>
  <cp:revision>2</cp:revision>
  <cp:lastPrinted>2026-05-08T14:04:00Z</cp:lastPrinted>
  <dcterms:created xsi:type="dcterms:W3CDTF">2026-05-08T14:05:00Z</dcterms:created>
  <dcterms:modified xsi:type="dcterms:W3CDTF">2026-05-08T14:05:00Z</dcterms:modified>
</cp:coreProperties>
</file>