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L'intelligence artificielle au service des victimes de dommage corporel : de la jurimétrie au juridico-prompt engineering</w:t>
      </w:r>
    </w:p>
    <w:p>
      <w:pPr>
        <w:jc w:val="center"/>
      </w:pPr>
      <w:r>
        <w:rPr>
          <w:rFonts w:ascii="Georgia" w:hAnsi="Georgia"/>
          <w:b/>
        </w:rPr>
        <w:t>Par Me Patrice Humbert, SELARL LEXVOX AVOCATS, Barreau d'Aix-en-Provence</w:t>
      </w:r>
    </w:p>
    <w:p>
      <w:pPr>
        <w:jc w:val="center"/>
      </w:pPr>
      <w:r>
        <w:rPr>
          <w:rFonts w:ascii="Georgia" w:hAnsi="Georgia"/>
          <w:i/>
        </w:rPr>
        <w:t>Avocat spécialisé en dommage corporel — Premier avocat certifié en intelligence artificielle en France</w:t>
      </w:r>
    </w:p>
    <w:p>
      <w:pPr>
        <w:pStyle w:val="Heading2"/>
      </w:pPr>
      <w:r>
        <w:t>Introduction</w:t>
      </w:r>
    </w:p>
    <w:p>
      <w:r>
        <w:rPr>
          <w:rFonts w:ascii="Georgia" w:hAnsi="Georgia"/>
        </w:rPr>
        <w:t xml:space="preserve">J'exerce depuis plus de vingt ans exclusivement en dommage corporel. Cette pratique m'a confronté, dossier après dossier, au paradoxe que Geneviève Viney identifiait dans son </w:t>
      </w:r>
      <w:r>
        <w:rPr>
          <w:rFonts w:ascii="Georgia" w:hAnsi="Georgia"/>
          <w:i/>
        </w:rPr>
        <w:t>Traité de droit civil</w:t>
      </w:r>
      <w:r>
        <w:rPr>
          <w:rFonts w:ascii="Georgia" w:hAnsi="Georgia"/>
        </w:rPr>
        <w:t xml:space="preserve"> : le principe de réparation intégrale, fermement consacré par la Cour de cassation, se heurte à des disparités d'évaluation que la doctrine qualifie de « loterie judiciaire » (Y. Lambert-Faivre et S. Porchy-Simon, </w:t>
      </w:r>
      <w:r>
        <w:rPr>
          <w:rFonts w:ascii="Georgia" w:hAnsi="Georgia"/>
          <w:i/>
        </w:rPr>
        <w:t>Droit du dommage corporel</w:t>
      </w:r>
      <w:r>
        <w:rPr>
          <w:rFonts w:ascii="Georgia" w:hAnsi="Georgia"/>
        </w:rPr>
        <w:t>, Dalloz, 8e éd., 2022, n° 48).</w:t>
      </w:r>
    </w:p>
    <w:p>
      <w:r>
        <w:rPr>
          <w:rFonts w:ascii="Georgia" w:hAnsi="Georgia"/>
        </w:rPr>
        <w:t>Quand une victime arrive dans mon cabinet avec son rapport d'expertise, elle fait face à un assureur disposant de trente juristes, de logiciels calibrés pour minimiser les offres (art. L. 211-9 C. assurances) et de bases agrégeant des dizaines de milliers de dossiers. La victime, elle, a sa souffrance et un document qu'elle comprend à peine.</w:t>
      </w:r>
    </w:p>
    <w:p>
      <w:r>
        <w:rPr>
          <w:rFonts w:ascii="Georgia" w:hAnsi="Georgia"/>
        </w:rPr>
        <w:t>C'est cette asymétrie structurelle qui m'a conduit vers l'IA. Non par fascination technologique, mais par nécessité déontologique. Le Tourneau rappelle que l'obligation de compétence implique la maîtrise des outils disponibles (</w:t>
      </w:r>
      <w:r>
        <w:rPr>
          <w:rFonts w:ascii="Georgia" w:hAnsi="Georgia"/>
          <w:i/>
        </w:rPr>
        <w:t>Droit de la responsabilité et des contrats</w:t>
      </w:r>
      <w:r>
        <w:rPr>
          <w:rFonts w:ascii="Georgia" w:hAnsi="Georgia"/>
        </w:rPr>
        <w:t>, Dalloz Action, 2024). L'IA offre la possibilité de rétablir l'égalité des armes entre victimes et assureurs.</w:t>
      </w:r>
    </w:p>
    <w:p>
      <w:r>
        <w:rPr>
          <w:rFonts w:ascii="Georgia" w:hAnsi="Georgia"/>
        </w:rPr>
        <w:t>J'aborde successivement : l'échec DataJust (I), la jurimétrie (II), les outils de justice prédictive (III), l'égalité des armes (IV), mes Skills juridiques et le juridico-prompt engineering (V), les garde-fous éthiques (VI), et le AI Act (VII).</w:t>
      </w:r>
    </w:p>
    <w:p>
      <w:pPr>
        <w:pStyle w:val="Heading2"/>
      </w:pPr>
      <w:r>
        <w:t>I. DataJust : les raisons d'un échec prévisible</w:t>
      </w:r>
    </w:p>
    <w:p>
      <w:r>
        <w:rPr>
          <w:rFonts w:ascii="Georgia" w:hAnsi="Georgia"/>
        </w:rPr>
        <w:t>Le décret n° 2020-356 du 27 mars 2020 a autorisé la création de « DataJust » : exploiter les décisions d'appel (2017-2019) pour construire un référentiel algorithmique d'indemnisation[^1].</w:t>
      </w:r>
    </w:p>
    <w:p>
      <w:r>
        <w:rPr>
          <w:rFonts w:ascii="Georgia" w:hAnsi="Georgia"/>
        </w:rPr>
        <w:t>Quand ce décret a été publié — en plein confinement —, j'ai été partagé. Réduire les disparités entre juridictions est légitime. Mais l'approche exclusivement algorithmique me semblait vouée à l'échec : le dommage corporel n'est pas réductible à des moyennes.</w:t>
      </w:r>
    </w:p>
    <w:p>
      <w:r>
        <w:rPr>
          <w:rFonts w:ascii="Georgia" w:hAnsi="Georgia"/>
        </w:rPr>
        <w:t>Le Conseil d'État a validé le dispositif le 30 décembre 2021 (n° 449081)[^2]. Quinze jours plus tard, le ministère y renonçait.</w:t>
      </w:r>
    </w:p>
    <w:p>
      <w:r>
        <w:rPr>
          <w:rFonts w:ascii="Georgia" w:hAnsi="Georgia"/>
        </w:rPr>
        <w:t>Les raisons sont instructives :</w:t>
      </w:r>
    </w:p>
    <w:p>
      <w:pPr>
        <w:pStyle w:val="ListBullet"/>
      </w:pPr>
      <w:r>
        <w:rPr>
          <w:rFonts w:ascii="Georgia" w:hAnsi="Georgia"/>
        </w:rPr>
        <w:t>Base biaisée : seules les décisions d'appel, alors que 90 % des dossiers se règlent par transaction. Algorithme bâti sur 10 % de la réalité.</w:t>
      </w:r>
    </w:p>
    <w:p>
      <w:pPr>
        <w:pStyle w:val="ListBullet"/>
      </w:pPr>
      <w:r>
        <w:rPr>
          <w:rFonts w:ascii="Georgia" w:hAnsi="Georgia"/>
        </w:rPr>
        <w:t>Le ministère a admis que « le préjudice corporel est intrinsèquement très compliqué, avec 40 dimensions ».</w:t>
      </w:r>
    </w:p>
    <w:p>
      <w:pPr>
        <w:pStyle w:val="ListBullet"/>
      </w:pPr>
      <w:r>
        <w:rPr>
          <w:rFonts w:ascii="Georgia" w:hAnsi="Georgia"/>
        </w:rPr>
        <w:t>La nomenclature Dintilhac (27 postes) connaît des variations considérables selon l'âge, la profession, la situation familiale. Aucun algorithme ne capture cette singularité sans supervision humaine.</w:t>
      </w:r>
    </w:p>
    <w:p>
      <w:r>
        <w:rPr>
          <w:rFonts w:ascii="Georgia" w:hAnsi="Georgia"/>
        </w:rPr>
        <w:t>L'enseignement principal est limpide : l'IA ne peut pas remplacer le praticien. Elle peut — et doit — l'assister.</w:t>
      </w:r>
    </w:p>
    <w:p>
      <w:pPr>
        <w:pStyle w:val="Heading2"/>
      </w:pPr>
      <w:r>
        <w:t>II. La jurimétrie : remettre les mots justes sur une réalité ancienne</w:t>
      </w:r>
    </w:p>
    <w:p>
      <w:pPr>
        <w:pStyle w:val="Heading3"/>
      </w:pPr>
      <w:r>
        <w:t>A. Bannir l'expression « justice prédictive »</w:t>
      </w:r>
    </w:p>
    <w:p>
      <w:r>
        <w:rPr>
          <w:rFonts w:ascii="Georgia" w:hAnsi="Georgia"/>
        </w:rPr>
        <w:t xml:space="preserve">Le CNB a rendu, lors de son assemblée générale du 9 octobre 2020, un rapport sur les legaltechs du domaine de la jurimétrie, avec 14 préconisations d'actions[^3]. La première — que je soutiens pleinement — est de bannir l'expression « justice prédictive » au profit du terme </w:t>
      </w:r>
      <w:r>
        <w:rPr>
          <w:rFonts w:ascii="Georgia" w:hAnsi="Georgia"/>
          <w:b/>
        </w:rPr>
        <w:t>jurimétrie</w:t>
      </w:r>
      <w:r>
        <w:rPr>
          <w:rFonts w:ascii="Georgia" w:hAnsi="Georgia"/>
        </w:rPr>
        <w:t>.</w:t>
      </w:r>
    </w:p>
    <w:p>
      <w:r>
        <w:rPr>
          <w:rFonts w:ascii="Georgia" w:hAnsi="Georgia"/>
        </w:rPr>
        <w:t xml:space="preserve">Le professeur Christophe Quézel-Ambrunaz, titulaire de la chaire de droit du dommage corporel à l'Université Savoie Mont Blanc et membre de l'Institut universitaire de France, a contribué de manière décisive à cette clarification. Dans la revue </w:t>
      </w:r>
      <w:r>
        <w:rPr>
          <w:rFonts w:ascii="Georgia" w:hAnsi="Georgia"/>
          <w:i/>
        </w:rPr>
        <w:t>Jurimétrie</w:t>
      </w:r>
      <w:r>
        <w:rPr>
          <w:rFonts w:ascii="Georgia" w:hAnsi="Georgia"/>
        </w:rPr>
        <w:t xml:space="preserve"> (Presses universitaires Savoie Mont Blanc, 2022), codirigée avec Vincent Rivollier, il définit la jurimétrie comme « une méthode particulière de connaissance des phénomènes juridiques, faisant appel aux mathématiques ».</w:t>
      </w:r>
    </w:p>
    <w:p>
      <w:r>
        <w:rPr>
          <w:rFonts w:ascii="Georgia" w:hAnsi="Georgia"/>
        </w:rPr>
        <w:t xml:space="preserve">Son étude </w:t>
      </w:r>
      <w:r>
        <w:rPr>
          <w:rFonts w:ascii="Georgia" w:hAnsi="Georgia"/>
          <w:i/>
        </w:rPr>
        <w:t>Demandes, offres, décisions en matière de dommage corporel</w:t>
      </w:r>
      <w:r>
        <w:rPr>
          <w:rFonts w:ascii="Georgia" w:hAnsi="Georgia"/>
        </w:rPr>
        <w:t xml:space="preserve"> (USMB, CRDA Favre, 2021) a démontré l'ampleur des écarts entre demandes, offres et décisions. Ses analyses poste par poste publiées dans </w:t>
      </w:r>
      <w:r>
        <w:rPr>
          <w:rFonts w:ascii="Georgia" w:hAnsi="Georgia"/>
          <w:i/>
        </w:rPr>
        <w:t>Lexbase Droit privé</w:t>
      </w:r>
      <w:r>
        <w:rPr>
          <w:rFonts w:ascii="Georgia" w:hAnsi="Georgia"/>
        </w:rPr>
        <w:t xml:space="preserve"> (2022) constituent des références que j'utilise quotidiennement. Son projet POODRE ouvre des perspectives pour l'exploitation des décisions en open data.</w:t>
      </w:r>
    </w:p>
    <w:p>
      <w:r>
        <w:rPr>
          <w:rFonts w:ascii="Georgia" w:hAnsi="Georgia"/>
        </w:rPr>
        <w:t>La confusion terminologique nuit au débat. Des victimes arrivent persuadées qu'un algorithme va fixer leur indemnisation. L'outil mesure ; l'avocat interprète et plaide.</w:t>
      </w:r>
    </w:p>
    <w:p>
      <w:pPr>
        <w:pStyle w:val="Heading3"/>
      </w:pPr>
      <w:r>
        <w:t>B. Themia et l'intelligence jurimétrique en pratique</w:t>
      </w:r>
    </w:p>
    <w:p>
      <w:r>
        <w:rPr>
          <w:rFonts w:ascii="Georgia" w:hAnsi="Georgia"/>
        </w:rPr>
        <w:t>Themia, centré sur le dommage corporel, occupe une place particulière. Pour un préjudice esthétique temporaire coté 2/7, l'outil m'a donné accès à 61 décisions, moyenne de 650 euros, fourchette 300-1 200 euros, avec filtrage par juridiction, âge et DFP. Quand je démontre à un inspecteur que son offre se situe dans le quartile inférieur de la jurisprudence locale, le rapport de force change.</w:t>
      </w:r>
    </w:p>
    <w:p>
      <w:pPr>
        <w:pStyle w:val="Heading2"/>
      </w:pPr>
      <w:r>
        <w:t>III. Panorama critique des outils de justice prédictive</w:t>
      </w:r>
    </w:p>
    <w:p>
      <w:pPr>
        <w:pStyle w:val="Heading3"/>
      </w:pPr>
      <w:r>
        <w:t>A. L'écosystème français</w:t>
      </w:r>
    </w:p>
    <w:p>
      <w:pPr>
        <w:pStyle w:val="ListBullet"/>
      </w:pPr>
      <w:r>
        <w:rPr>
          <w:rFonts w:ascii="Georgia" w:hAnsi="Georgia"/>
          <w:b/>
        </w:rPr>
        <w:t>Case Law Analytics</w:t>
      </w:r>
      <w:r>
        <w:rPr>
          <w:rFonts w:ascii="Georgia" w:hAnsi="Georgia"/>
        </w:rPr>
        <w:t xml:space="preserve"> (intégrée à Lexis+) modélise 100 scénarios probabilistes par poste de préjudice. Le rapport du CNB de 2020 l'avait identifiée comme seule « technologie de rupture »[^4].</w:t>
      </w:r>
    </w:p>
    <w:p>
      <w:pPr>
        <w:pStyle w:val="ListBullet"/>
      </w:pPr>
      <w:r>
        <w:rPr>
          <w:rFonts w:ascii="Georgia" w:hAnsi="Georgia"/>
          <w:b/>
        </w:rPr>
        <w:t>Predictice</w:t>
      </w:r>
      <w:r>
        <w:rPr>
          <w:rFonts w:ascii="Georgia" w:hAnsi="Georgia"/>
        </w:rPr>
        <w:t xml:space="preserve"> (rachetée par Doctrine en 2025) exploite le NLP pour extraire les motifs décisionnels, mais reste moins performant en dommage corporel.</w:t>
      </w:r>
    </w:p>
    <w:p>
      <w:pPr>
        <w:pStyle w:val="ListBullet"/>
      </w:pPr>
      <w:r>
        <w:rPr>
          <w:rFonts w:ascii="Georgia" w:hAnsi="Georgia"/>
          <w:b/>
        </w:rPr>
        <w:t>Quantum</w:t>
      </w:r>
      <w:r>
        <w:rPr>
          <w:rFonts w:ascii="Georgia" w:hAnsi="Georgia"/>
        </w:rPr>
        <w:t xml:space="preserve"> (Juri-Solutions) est un calculateur de préjudices d'une grande rigueur, sans être un outil prédictif.</w:t>
      </w:r>
    </w:p>
    <w:p>
      <w:pPr>
        <w:pStyle w:val="Heading3"/>
      </w:pPr>
      <w:r>
        <w:t>B. Les limites que je constate</w:t>
      </w:r>
    </w:p>
    <w:p>
      <w:r>
        <w:rPr>
          <w:rFonts w:ascii="Georgia" w:hAnsi="Georgia"/>
        </w:rPr>
        <w:t>Trois préoccupations :</w:t>
      </w:r>
    </w:p>
    <w:p>
      <w:r>
        <w:rPr>
          <w:rFonts w:ascii="Georgia" w:hAnsi="Georgia"/>
          <w:b/>
        </w:rPr>
        <w:t>Le biais de sélection</w:t>
      </w:r>
      <w:r>
        <w:rPr>
          <w:rFonts w:ascii="Georgia" w:hAnsi="Georgia"/>
        </w:rPr>
        <w:t xml:space="preserve"> : les bases ne contiennent que les décisions publiées. Les transactions amiables — où l'assureur offre souvent moins — n'y figurent pas. Le praticien risque de surestimer l'indemnisation probable en contexte transactionnel.</w:t>
      </w:r>
    </w:p>
    <w:p>
      <w:r>
        <w:rPr>
          <w:rFonts w:ascii="Georgia" w:hAnsi="Georgia"/>
          <w:b/>
        </w:rPr>
        <w:t>L'opacité</w:t>
      </w:r>
      <w:r>
        <w:rPr>
          <w:rFonts w:ascii="Georgia" w:hAnsi="Georgia"/>
        </w:rPr>
        <w:t xml:space="preserve"> : le code source reste un secret industriel. Le CNB a adopté une charte éthique sur la transparence, mais l'adhésion est volontaire. Je ne peux pas plaider sur la base de chiffres dont je ne maîtrise pas la méthodologie.</w:t>
      </w:r>
    </w:p>
    <w:p>
      <w:r>
        <w:rPr>
          <w:rFonts w:ascii="Georgia" w:hAnsi="Georgia"/>
          <w:b/>
        </w:rPr>
        <w:t>Le risque de circularité</w:t>
      </w:r>
      <w:r>
        <w:rPr>
          <w:rFonts w:ascii="Georgia" w:hAnsi="Georgia"/>
        </w:rPr>
        <w:t xml:space="preserve"> : si les juges s'appuient sur des fourchettes prédictives, et que ces indemnisations alimentent les bases prédictives, on crée un système autoréférentiel qui fige la jurisprudence. C'est l'exact contraire du principe de réparation intégrale.</w:t>
      </w:r>
    </w:p>
    <w:p>
      <w:pPr>
        <w:pStyle w:val="Heading2"/>
      </w:pPr>
      <w:r>
        <w:t>IV. L'égalité des armes : un principe enfin effectif grâce à l'IA</w:t>
      </w:r>
    </w:p>
    <w:p>
      <w:pPr>
        <w:pStyle w:val="Heading3"/>
      </w:pPr>
      <w:r>
        <w:t>A. Un déséquilibre structurel documenté</w:t>
      </w:r>
    </w:p>
    <w:p>
      <w:r>
        <w:rPr>
          <w:rFonts w:ascii="Georgia" w:hAnsi="Georgia"/>
        </w:rPr>
        <w:t>L'article 6§1 de la CEDH consacre l'égalité des armes (</w:t>
      </w:r>
      <w:r>
        <w:rPr>
          <w:rFonts w:ascii="Georgia" w:hAnsi="Georgia"/>
          <w:i/>
        </w:rPr>
        <w:t>Dombo Beheer B.V. c. Pays-Bas</w:t>
      </w:r>
      <w:r>
        <w:rPr>
          <w:rFonts w:ascii="Georgia" w:hAnsi="Georgia"/>
        </w:rPr>
        <w:t>, 27 octobre 1993, n° 14448/88)[^5].</w:t>
      </w:r>
    </w:p>
    <w:p>
      <w:r>
        <w:rPr>
          <w:rFonts w:ascii="Georgia" w:hAnsi="Georgia"/>
        </w:rPr>
        <w:t>Or la réalité contredit cette exigence. Lambert-Faivre et Porchy-Simon soulignent que l'assureur dispose d'une infrastructure sans commune mesure avec les moyens de la victime (</w:t>
      </w:r>
      <w:r>
        <w:rPr>
          <w:rFonts w:ascii="Georgia" w:hAnsi="Georgia"/>
          <w:i/>
        </w:rPr>
        <w:t>op. cit.</w:t>
      </w:r>
      <w:r>
        <w:rPr>
          <w:rFonts w:ascii="Georgia" w:hAnsi="Georgia"/>
        </w:rPr>
        <w:t>, n° 52). J'ai mesuré cette asymétrie : logiciels de chiffrage internes opaques, médecins-conseils omettant des postes, victimes acceptant des transactions à 30 % du montant judiciaire.</w:t>
      </w:r>
    </w:p>
    <w:p>
      <w:pPr>
        <w:pStyle w:val="Heading3"/>
      </w:pPr>
      <w:r>
        <w:t>B. Comment l'IA rétablit l'équilibre</w:t>
      </w:r>
    </w:p>
    <w:p>
      <w:r>
        <w:rPr>
          <w:rFonts w:ascii="Georgia" w:hAnsi="Georgia"/>
        </w:rPr>
        <w:t>Pour la première fois, un avocat de victime dispose d'outils comparables à ceux des assureurs :</w:t>
      </w:r>
    </w:p>
    <w:p>
      <w:pPr>
        <w:pStyle w:val="ListBullet"/>
      </w:pPr>
      <w:r>
        <w:rPr>
          <w:rFonts w:ascii="Georgia" w:hAnsi="Georgia"/>
          <w:b/>
        </w:rPr>
        <w:t>En négociation</w:t>
      </w:r>
      <w:r>
        <w:rPr>
          <w:rFonts w:ascii="Georgia" w:hAnsi="Georgia"/>
        </w:rPr>
        <w:t>, j'oppose les données Themia filtrées par juridiction. L'inspecteur sait que je dispose des mêmes données — parfois de meilleures.</w:t>
      </w:r>
    </w:p>
    <w:p>
      <w:pPr>
        <w:pStyle w:val="ListBullet"/>
      </w:pPr>
      <w:r>
        <w:rPr>
          <w:rFonts w:ascii="Georgia" w:hAnsi="Georgia"/>
          <w:b/>
        </w:rPr>
        <w:t>En expertise</w:t>
      </w:r>
      <w:r>
        <w:rPr>
          <w:rFonts w:ascii="Georgia" w:hAnsi="Georgia"/>
        </w:rPr>
        <w:t>, l'IA identifie les postes omis et les incohérences du rapport.</w:t>
      </w:r>
    </w:p>
    <w:p>
      <w:pPr>
        <w:pStyle w:val="ListBullet"/>
      </w:pPr>
      <w:r>
        <w:rPr>
          <w:rFonts w:ascii="Georgia" w:hAnsi="Georgia"/>
          <w:b/>
        </w:rPr>
        <w:t>En contentieux</w:t>
      </w:r>
      <w:r>
        <w:rPr>
          <w:rFonts w:ascii="Georgia" w:hAnsi="Georgia"/>
        </w:rPr>
        <w:t>, les données jurimétriques étayent mes demandes poste par poste.</w:t>
      </w:r>
    </w:p>
    <w:p>
      <w:r>
        <w:rPr>
          <w:rFonts w:ascii="Georgia" w:hAnsi="Georgia"/>
        </w:rPr>
        <w:t>L'égalité des armes n'est plus un principe abstrait — c'est une réalité opérationnelle.</w:t>
      </w:r>
    </w:p>
    <w:p>
      <w:pPr>
        <w:pStyle w:val="Heading2"/>
      </w:pPr>
      <w:r>
        <w:t>V. Du protocole MCP aux Skills juridiques : mon retour d'expérience</w:t>
      </w:r>
    </w:p>
    <w:p>
      <w:pPr>
        <w:pStyle w:val="Heading3"/>
      </w:pPr>
      <w:r>
        <w:t>A. Le protocole MCP</w:t>
      </w:r>
    </w:p>
    <w:p>
      <w:r>
        <w:rPr>
          <w:rFonts w:ascii="Georgia" w:hAnsi="Georgia"/>
        </w:rPr>
        <w:t>Le Model Context Protocol (MCP), développé par Anthropic, constitue l'avancée architecturale la plus significative pour notre profession. Il permet de connecter un modèle de langage — Claude — à des sources de données externes en temps réel.</w:t>
      </w:r>
    </w:p>
    <w:p>
      <w:r>
        <w:rPr>
          <w:rFonts w:ascii="Georgia" w:hAnsi="Georgia"/>
        </w:rPr>
        <w:t>Dans mon cabinet, Claude interroge simultanément via MCP : Lexbase, Themia, référentiels d'indemnisation et Légifrance, dans un environnement sécurisé. Pour un traumatisme crânien devant le TJ d'Aix, je peux en une session :</w:t>
      </w:r>
    </w:p>
    <w:p>
      <w:pPr>
        <w:pStyle w:val="ListBullet"/>
      </w:pPr>
      <w:r>
        <w:rPr>
          <w:rFonts w:ascii="Georgia" w:hAnsi="Georgia"/>
        </w:rPr>
        <w:t>vérifier les montants accordés pour un DFP comparable sur trois ans ;</w:t>
      </w:r>
    </w:p>
    <w:p>
      <w:pPr>
        <w:pStyle w:val="ListBullet"/>
      </w:pPr>
      <w:r>
        <w:rPr>
          <w:rFonts w:ascii="Georgia" w:hAnsi="Georgia"/>
        </w:rPr>
        <w:t>croiser avec le référentiel Mornet actualisé en 2024[^6] ;</w:t>
      </w:r>
    </w:p>
    <w:p>
      <w:pPr>
        <w:pStyle w:val="ListBullet"/>
      </w:pPr>
      <w:r>
        <w:rPr>
          <w:rFonts w:ascii="Georgia" w:hAnsi="Georgia"/>
        </w:rPr>
        <w:t>identifier les arrêts pertinents, y compris l'arrêt d'assemblée plénière du 27 juin 2025 (n° 22-21.812) sur la perte de chance[^7] ;</w:t>
      </w:r>
    </w:p>
    <w:p>
      <w:pPr>
        <w:pStyle w:val="ListBullet"/>
      </w:pPr>
      <w:r>
        <w:rPr>
          <w:rFonts w:ascii="Georgia" w:hAnsi="Georgia"/>
        </w:rPr>
        <w:t>structurer une argumentation poste par poste.</w:t>
      </w:r>
    </w:p>
    <w:p>
      <w:pPr>
        <w:pStyle w:val="Heading3"/>
      </w:pPr>
      <w:r>
        <w:t>B. Les Skills juridiques</w:t>
      </w:r>
    </w:p>
    <w:p>
      <w:r>
        <w:rPr>
          <w:rFonts w:ascii="Georgia" w:hAnsi="Georgia"/>
        </w:rPr>
        <w:t>J'ai développé des « Skills » — des protocoles d'exécution structurés, pas de simples prompts, mais des architectures encapsulant mon expertise dans un format reproductible :</w:t>
      </w:r>
    </w:p>
    <w:p>
      <w:pPr>
        <w:pStyle w:val="ListBullet"/>
      </w:pPr>
      <w:r>
        <w:rPr>
          <w:rFonts w:ascii="Georgia" w:hAnsi="Georgia"/>
          <w:b/>
        </w:rPr>
        <w:t>Skill d'analyse de rapport d'expertise</w:t>
      </w:r>
      <w:r>
        <w:rPr>
          <w:rFonts w:ascii="Georgia" w:hAnsi="Georgia"/>
        </w:rPr>
        <w:t xml:space="preserve"> : extraction des conclusions, identification des postes de préjudice, vérification de cohérence ;</w:t>
      </w:r>
    </w:p>
    <w:p>
      <w:pPr>
        <w:pStyle w:val="ListBullet"/>
      </w:pPr>
      <w:r>
        <w:rPr>
          <w:rFonts w:ascii="Georgia" w:hAnsi="Georgia"/>
          <w:b/>
        </w:rPr>
        <w:t>Skill de chiffrage Dintilhac</w:t>
      </w:r>
      <w:r>
        <w:rPr>
          <w:rFonts w:ascii="Georgia" w:hAnsi="Georgia"/>
        </w:rPr>
        <w:t xml:space="preserve"> : calcul automatisé par poste avec référencement jurisprudentiel ;</w:t>
      </w:r>
    </w:p>
    <w:p>
      <w:pPr>
        <w:pStyle w:val="ListBullet"/>
      </w:pPr>
      <w:r>
        <w:rPr>
          <w:rFonts w:ascii="Georgia" w:hAnsi="Georgia"/>
          <w:b/>
        </w:rPr>
        <w:t>Skill de vérification juridique</w:t>
      </w:r>
      <w:r>
        <w:rPr>
          <w:rFonts w:ascii="Georgia" w:hAnsi="Georgia"/>
        </w:rPr>
        <w:t xml:space="preserve"> : contrôle des références via Légifrance et Lexbase.</w:t>
      </w:r>
    </w:p>
    <w:p>
      <w:r>
        <w:rPr>
          <w:rFonts w:ascii="Georgia" w:hAnsi="Georgia"/>
        </w:rPr>
        <w:t>Cette approche garantit l'exhaustivité et libère du temps pour le coeur du métier : l'écoute, la stratégie, la plaidoirie.</w:t>
      </w:r>
    </w:p>
    <w:p>
      <w:pPr>
        <w:pStyle w:val="Heading3"/>
      </w:pPr>
      <w:r>
        <w:t>C. Le juridico-prompt engineering</w:t>
      </w:r>
    </w:p>
    <w:p>
      <w:r>
        <w:rPr>
          <w:rFonts w:ascii="Georgia" w:hAnsi="Georgia"/>
        </w:rPr>
        <w:t>Le « juridico-prompt engineering » : formuler des instructions IA en intégrant les contraintes du raisonnement juridique. Mes principes :</w:t>
      </w:r>
    </w:p>
    <w:p>
      <w:pPr>
        <w:pStyle w:val="ListNumber"/>
      </w:pPr>
      <w:r>
        <w:rPr>
          <w:rFonts w:ascii="Georgia" w:hAnsi="Georgia"/>
          <w:b/>
        </w:rPr>
        <w:t>Contextualisation normative</w:t>
      </w:r>
      <w:r>
        <w:rPr>
          <w:rFonts w:ascii="Georgia" w:hAnsi="Georgia"/>
        </w:rPr>
        <w:t xml:space="preserve"> — chaque requête spécifie le régime applicable, la juridiction et les textes de référence ;</w:t>
      </w:r>
    </w:p>
    <w:p>
      <w:pPr>
        <w:pStyle w:val="ListNumber"/>
      </w:pPr>
      <w:r>
        <w:rPr>
          <w:rFonts w:ascii="Georgia" w:hAnsi="Georgia"/>
          <w:b/>
        </w:rPr>
        <w:t>Décomposition par poste Dintilhac</w:t>
      </w:r>
      <w:r>
        <w:rPr>
          <w:rFonts w:ascii="Georgia" w:hAnsi="Georgia"/>
        </w:rPr>
        <w:t xml:space="preserve"> — traiter chaque poste séparément ;</w:t>
      </w:r>
    </w:p>
    <w:p>
      <w:pPr>
        <w:pStyle w:val="ListNumber"/>
      </w:pPr>
      <w:r>
        <w:rPr>
          <w:rFonts w:ascii="Georgia" w:hAnsi="Georgia"/>
          <w:b/>
        </w:rPr>
        <w:t>Exigence de sourçage</w:t>
      </w:r>
      <w:r>
        <w:rPr>
          <w:rFonts w:ascii="Georgia" w:hAnsi="Georgia"/>
        </w:rPr>
        <w:t xml:space="preserve"> — chaque affirmation adossée à une référence vérifiable ;</w:t>
      </w:r>
    </w:p>
    <w:p>
      <w:pPr>
        <w:pStyle w:val="ListNumber"/>
      </w:pPr>
      <w:r>
        <w:rPr>
          <w:rFonts w:ascii="Georgia" w:hAnsi="Georgia"/>
          <w:b/>
        </w:rPr>
        <w:t>Garde-fous déontologiques</w:t>
      </w:r>
      <w:r>
        <w:rPr>
          <w:rFonts w:ascii="Georgia" w:hAnsi="Georgia"/>
        </w:rPr>
        <w:t xml:space="preserve"> — respect du RIN, interdiction de promettre un résultat (obligation de moyens), secret professionnel.</w:t>
      </w:r>
    </w:p>
    <w:p>
      <w:pPr>
        <w:pStyle w:val="Heading3"/>
      </w:pPr>
      <w:r>
        <w:t>D. Sécurisation</w:t>
      </w:r>
    </w:p>
    <w:p>
      <w:r>
        <w:rPr>
          <w:rFonts w:ascii="Georgia" w:hAnsi="Georgia"/>
        </w:rPr>
        <w:t>Les données clients relèvent du secret professionnel (art. 66-5, loi du 31 décembre 1971) et du RGPD (art. 9). J'applique : anonymisation, API sécurisées, journalisation complète, validation humaine systématique.</w:t>
      </w:r>
    </w:p>
    <w:p>
      <w:pPr>
        <w:pStyle w:val="Heading2"/>
      </w:pPr>
      <w:r>
        <w:t>VI. Garde-fous éthiques et juridiques</w:t>
      </w:r>
    </w:p>
    <w:p>
      <w:pPr>
        <w:pStyle w:val="Heading3"/>
      </w:pPr>
      <w:r>
        <w:t>A. La réparation intégrale comme boussole</w:t>
      </w:r>
    </w:p>
    <w:p>
      <w:r>
        <w:rPr>
          <w:rFonts w:ascii="Georgia" w:hAnsi="Georgia"/>
        </w:rPr>
        <w:t>Le principe directeur reste la réparation intégrale (art. 1240 du Code civil ; Cass. 2e civ., 28 mai 2009, n° 08-16.829). La victime doit être replacée dans la situation qui aurait été la sienne sans le fait dommageable[^8]. La Cour de cassation l'a rappelé dans un arrêt du 7 novembre 2024 (n° 23-12.369) précisant que l'autorité de la chose jugée ne saurait être opposée à un préjudice non réparé[^9]. Ce principe suppose une évaluation individualisée que l'IA ne peut assurer seule.</w:t>
      </w:r>
    </w:p>
    <w:p>
      <w:pPr>
        <w:pStyle w:val="Heading3"/>
      </w:pPr>
      <w:r>
        <w:t>B. L'interdiction du profilage des magistrats</w:t>
      </w:r>
    </w:p>
    <w:p>
      <w:r>
        <w:rPr>
          <w:rFonts w:ascii="Georgia" w:hAnsi="Georgia"/>
        </w:rPr>
        <w:t>L'article L. 111-13 du Code de l'organisation judiciaire (loi n° 2019-222 du 23 mars 2019) interdit la réutilisation des données d'identité des magistrats pour évaluer ou prédire leurs pratiques — garde-fou essentiel que les outils de jurimétrie doivent respecter.</w:t>
      </w:r>
    </w:p>
    <w:p>
      <w:pPr>
        <w:pStyle w:val="Heading2"/>
      </w:pPr>
      <w:r>
        <w:t>VII. Le AI Act : ce qui va changer à partir de 2026</w:t>
      </w:r>
    </w:p>
    <w:p>
      <w:r>
        <w:rPr>
          <w:rFonts w:ascii="Georgia" w:hAnsi="Georgia"/>
        </w:rPr>
        <w:t>Le règlement (UE) 2024/1689 du 13 juin 2024 classe les systèmes d'IA utilisés dans l'administration de la justice parmi les systèmes à « haut risque » (annexe III, point 8)[^10]. Application complète prévue le 2 août 2026.</w:t>
      </w:r>
    </w:p>
    <w:p>
      <w:r>
        <w:rPr>
          <w:rFonts w:ascii="Georgia" w:hAnsi="Georgia"/>
        </w:rPr>
        <w:t>Concrètement :</w:t>
      </w:r>
    </w:p>
    <w:p>
      <w:pPr>
        <w:pStyle w:val="ListBullet"/>
      </w:pPr>
      <w:r>
        <w:rPr>
          <w:rFonts w:ascii="Georgia" w:hAnsi="Georgia"/>
        </w:rPr>
        <w:t>Les fournisseurs d'outils jurimétriques devront assurer une transparence algorithmique ;</w:t>
      </w:r>
    </w:p>
    <w:p>
      <w:pPr>
        <w:pStyle w:val="ListBullet"/>
      </w:pPr>
      <w:r>
        <w:rPr>
          <w:rFonts w:ascii="Georgia" w:hAnsi="Georgia"/>
        </w:rPr>
        <w:t>Le principe du « human-in-the-loop » sera juridiquement contraignant ;</w:t>
      </w:r>
    </w:p>
    <w:p>
      <w:pPr>
        <w:pStyle w:val="ListBullet"/>
      </w:pPr>
      <w:r>
        <w:rPr>
          <w:rFonts w:ascii="Georgia" w:hAnsi="Georgia"/>
        </w:rPr>
        <w:t>Les obligations de journalisation et traçabilité rejoignent ce que nous pratiquons déjà.</w:t>
      </w:r>
    </w:p>
    <w:p>
      <w:r>
        <w:rPr>
          <w:rFonts w:ascii="Georgia" w:hAnsi="Georgia"/>
        </w:rPr>
        <w:t>Le AI Act ne freinera pas l'usage de l'IA en dommage corporel. Il l'encadrera. Bonne nouvelle pour les victimes comme pour les praticiens.</w:t>
      </w:r>
    </w:p>
    <w:p>
      <w:pPr>
        <w:pStyle w:val="Heading2"/>
      </w:pPr>
      <w:r>
        <w:t>Conclusion</w:t>
      </w:r>
    </w:p>
    <w:p>
      <w:r>
        <w:rPr>
          <w:rFonts w:ascii="Georgia" w:hAnsi="Georgia"/>
        </w:rPr>
        <w:t>L'échec de DataJust ne marque pas la fin de l'IA en dommage corporel. Il marque la fin d'une illusion : celle d'un algorithme qui remplacerait le praticien.</w:t>
      </w:r>
    </w:p>
    <w:p>
      <w:r>
        <w:rPr>
          <w:rFonts w:ascii="Georgia" w:hAnsi="Georgia"/>
        </w:rPr>
        <w:t>Depuis que j'ai intégré jurimétrie, MCP et Skills juridiques, je constate un changement tangible : dossiers mieux documentés, négociations plus équitables. Ce n'est pas l'IA qui plaide — c'est moi. Mais c'est l'IA qui me permet de plaider mieux.</w:t>
      </w:r>
    </w:p>
    <w:p>
      <w:r>
        <w:rPr>
          <w:rFonts w:ascii="Georgia" w:hAnsi="Georgia"/>
        </w:rPr>
        <w:t>L'enjeu est la formation. Trop peu d'avocats maîtrisent ces outils. Se former à l'IA, non pour suivre une mode, mais parce que l'égalité des armes l'exige. Ce principe, si longtemps un voeu pieux, devient une réalité opérationnelle. C'est l'apport le plus fondamental de l'IA au droit des victimes.</w:t>
      </w:r>
    </w:p>
    <w:p>
      <w:pPr>
        <w:pStyle w:val="Heading3"/>
      </w:pPr>
      <w:r>
        <w:t>Notes et références</w:t>
      </w:r>
    </w:p>
    <w:p>
      <w:pPr>
        <w:spacing w:after="60"/>
      </w:pPr>
      <w:r>
        <w:rPr>
          <w:rFonts w:ascii="Georgia" w:hAnsi="Georgia"/>
          <w:b/>
          <w:sz w:val="18"/>
        </w:rPr>
        <w:t xml:space="preserve">[1] </w:t>
      </w:r>
      <w:r>
        <w:rPr>
          <w:rFonts w:ascii="Georgia" w:hAnsi="Georgia"/>
          <w:sz w:val="18"/>
        </w:rPr>
        <w:t xml:space="preserve">Décret n° 2020-356 du 27 mars 2020 portant création du traitement « DataJust » — </w:t>
      </w:r>
      <w:hyperlink r:id="rId9">
        <w:r>
          <w:rPr>
            <w:color w:val="0563C1"/>
            <w:u w:val="single"/>
            <w:rFonts w:ascii="Georgia" w:hAnsi="Georgia"/>
            <w:sz w:val="22"/>
          </w:rPr>
          <w:t>Légifrance</w:t>
        </w:r>
      </w:hyperlink>
    </w:p>
    <w:p>
      <w:pPr>
        <w:spacing w:after="60"/>
      </w:pPr>
      <w:r>
        <w:rPr>
          <w:rFonts w:ascii="Georgia" w:hAnsi="Georgia"/>
          <w:b/>
          <w:sz w:val="18"/>
        </w:rPr>
        <w:t xml:space="preserve">[2] </w:t>
      </w:r>
      <w:r>
        <w:rPr>
          <w:rFonts w:ascii="Georgia" w:hAnsi="Georgia"/>
          <w:sz w:val="18"/>
        </w:rPr>
        <w:t xml:space="preserve">CE, 30 décembre 2021, n° 449081 — M. Lahana, « DataJust ou l'algorithmisation du dommage corporel », </w:t>
      </w:r>
      <w:r>
        <w:rPr>
          <w:rFonts w:ascii="Georgia" w:hAnsi="Georgia"/>
          <w:i/>
          <w:sz w:val="18"/>
        </w:rPr>
        <w:t>Village de la Justice</w:t>
      </w:r>
      <w:r>
        <w:rPr>
          <w:rFonts w:ascii="Georgia" w:hAnsi="Georgia"/>
          <w:sz w:val="18"/>
        </w:rPr>
        <w:t>, 2023</w:t>
      </w:r>
    </w:p>
    <w:p>
      <w:pPr>
        <w:spacing w:after="60"/>
      </w:pPr>
      <w:r>
        <w:rPr>
          <w:rFonts w:ascii="Georgia" w:hAnsi="Georgia"/>
          <w:b/>
          <w:sz w:val="18"/>
        </w:rPr>
        <w:t xml:space="preserve">[3] </w:t>
      </w:r>
      <w:r>
        <w:rPr>
          <w:rFonts w:ascii="Georgia" w:hAnsi="Georgia"/>
          <w:sz w:val="18"/>
        </w:rPr>
        <w:t xml:space="preserve">CNB, Rapport du groupe de travail Legaltech, *Préconisations d'actions pour les legaltechs du domaine de la jurimétrie*, assemblée générale du 9 octobre 2020 — </w:t>
      </w:r>
      <w:hyperlink r:id="rId10">
        <w:r>
          <w:rPr>
            <w:color w:val="0563C1"/>
            <w:u w:val="single"/>
            <w:rFonts w:ascii="Georgia" w:hAnsi="Georgia"/>
            <w:sz w:val="22"/>
          </w:rPr>
          <w:t>cnb.avocat.fr</w:t>
        </w:r>
      </w:hyperlink>
    </w:p>
    <w:p>
      <w:pPr>
        <w:spacing w:after="60"/>
      </w:pPr>
      <w:r>
        <w:rPr>
          <w:rFonts w:ascii="Georgia" w:hAnsi="Georgia"/>
          <w:b/>
          <w:sz w:val="18"/>
        </w:rPr>
        <w:t xml:space="preserve">[4] </w:t>
      </w:r>
      <w:r>
        <w:rPr>
          <w:rFonts w:ascii="Georgia" w:hAnsi="Georgia"/>
          <w:sz w:val="18"/>
        </w:rPr>
        <w:t xml:space="preserve">Sopra Steria Next, </w:t>
      </w:r>
      <w:r>
        <w:rPr>
          <w:rFonts w:ascii="Georgia" w:hAnsi="Georgia"/>
          <w:i/>
          <w:sz w:val="18"/>
        </w:rPr>
        <w:t>Étude comparative des technologies de jurimétrie</w:t>
      </w:r>
      <w:r>
        <w:rPr>
          <w:rFonts w:ascii="Georgia" w:hAnsi="Georgia"/>
          <w:sz w:val="18"/>
        </w:rPr>
        <w:t>, commandée par le CNB, 2020</w:t>
      </w:r>
    </w:p>
    <w:p>
      <w:pPr>
        <w:spacing w:after="60"/>
      </w:pPr>
      <w:r>
        <w:rPr>
          <w:rFonts w:ascii="Georgia" w:hAnsi="Georgia"/>
          <w:b/>
          <w:sz w:val="18"/>
        </w:rPr>
        <w:t xml:space="preserve">[5] </w:t>
      </w:r>
      <w:r>
        <w:rPr>
          <w:rFonts w:ascii="Georgia" w:hAnsi="Georgia"/>
          <w:sz w:val="18"/>
        </w:rPr>
        <w:t xml:space="preserve">CEDH, </w:t>
      </w:r>
      <w:r>
        <w:rPr>
          <w:rFonts w:ascii="Georgia" w:hAnsi="Georgia"/>
          <w:i/>
          <w:sz w:val="18"/>
        </w:rPr>
        <w:t>Dombo Beheer B.V. c. Pays-Bas</w:t>
      </w:r>
      <w:r>
        <w:rPr>
          <w:rFonts w:ascii="Georgia" w:hAnsi="Georgia"/>
          <w:sz w:val="18"/>
        </w:rPr>
        <w:t>, 27 octobre 1993, n° 14448/88</w:t>
      </w:r>
    </w:p>
    <w:p>
      <w:pPr>
        <w:spacing w:after="60"/>
      </w:pPr>
      <w:r>
        <w:rPr>
          <w:rFonts w:ascii="Georgia" w:hAnsi="Georgia"/>
          <w:b/>
          <w:sz w:val="18"/>
        </w:rPr>
        <w:t xml:space="preserve">[6] </w:t>
      </w:r>
      <w:r>
        <w:rPr>
          <w:rFonts w:ascii="Georgia" w:hAnsi="Georgia"/>
          <w:sz w:val="18"/>
        </w:rPr>
        <w:t xml:space="preserve">Référentiel indicatif de l'indemnisation du préjudice corporel des cours d'appel, 7e version, juin 2024, coordonné par B. Mornet, conseiller à la Cour de cassation — </w:t>
      </w:r>
      <w:hyperlink r:id="rId11">
        <w:r>
          <w:rPr>
            <w:color w:val="0563C1"/>
            <w:u w:val="single"/>
            <w:rFonts w:ascii="Georgia" w:hAnsi="Georgia"/>
            <w:sz w:val="22"/>
          </w:rPr>
          <w:t>Barreau de Paris (PDF)</w:t>
        </w:r>
      </w:hyperlink>
    </w:p>
    <w:p>
      <w:pPr>
        <w:spacing w:after="60"/>
      </w:pPr>
      <w:r>
        <w:rPr>
          <w:rFonts w:ascii="Georgia" w:hAnsi="Georgia"/>
          <w:b/>
          <w:sz w:val="18"/>
        </w:rPr>
        <w:t xml:space="preserve">[7] </w:t>
      </w:r>
      <w:r>
        <w:rPr>
          <w:rFonts w:ascii="Georgia" w:hAnsi="Georgia"/>
          <w:sz w:val="18"/>
        </w:rPr>
        <w:t xml:space="preserve">Cass. ass. plén., 27 juin 2025, n° 22-21.812 (perte de chance et réparation intégrale) — </w:t>
      </w:r>
      <w:hyperlink r:id="rId12">
        <w:r>
          <w:rPr>
            <w:color w:val="0563C1"/>
            <w:u w:val="single"/>
            <w:rFonts w:ascii="Georgia" w:hAnsi="Georgia"/>
            <w:sz w:val="22"/>
          </w:rPr>
          <w:t>Légifrance</w:t>
        </w:r>
      </w:hyperlink>
    </w:p>
    <w:p>
      <w:pPr>
        <w:spacing w:after="60"/>
      </w:pPr>
      <w:r>
        <w:rPr>
          <w:rFonts w:ascii="Georgia" w:hAnsi="Georgia"/>
          <w:b/>
          <w:sz w:val="18"/>
        </w:rPr>
        <w:t xml:space="preserve">[8] </w:t>
      </w:r>
      <w:r>
        <w:rPr>
          <w:rFonts w:ascii="Georgia" w:hAnsi="Georgia"/>
          <w:sz w:val="18"/>
        </w:rPr>
        <w:t>Cass. 2e civ., 28 mai 2009, n° 08-16.829 ; Cass. 2e civ., 25 avril 2024, n° 22-17.229 (non-cumul des préjudices Dintilhac) ; Cass. 2e civ., 30 mai 2024, n° 22-22.814 (actualisation / dépréciation monétaire) ; Cass. 2e civ., 10 octobre 2024, n° 23-13.932 (PGPF et réparation intégrale)</w:t>
      </w:r>
    </w:p>
    <w:p>
      <w:pPr>
        <w:spacing w:after="60"/>
      </w:pPr>
      <w:r>
        <w:rPr>
          <w:rFonts w:ascii="Georgia" w:hAnsi="Georgia"/>
          <w:b/>
          <w:sz w:val="18"/>
        </w:rPr>
        <w:t xml:space="preserve">[9] </w:t>
      </w:r>
      <w:r>
        <w:rPr>
          <w:rFonts w:ascii="Georgia" w:hAnsi="Georgia"/>
          <w:sz w:val="18"/>
        </w:rPr>
        <w:t>Cass. 2e civ., 7 novembre 2024, n° 23-12.369 (autorité de la chose jugée vs réparation intégrale)</w:t>
      </w:r>
    </w:p>
    <w:p>
      <w:pPr>
        <w:spacing w:after="60"/>
      </w:pPr>
      <w:r>
        <w:rPr>
          <w:rFonts w:ascii="Georgia" w:hAnsi="Georgia"/>
          <w:b/>
          <w:sz w:val="18"/>
        </w:rPr>
        <w:t xml:space="preserve">[10] </w:t>
      </w:r>
      <w:r>
        <w:rPr>
          <w:rFonts w:ascii="Georgia" w:hAnsi="Georgia"/>
          <w:sz w:val="18"/>
        </w:rPr>
        <w:t xml:space="preserve">Règlement (UE) 2024/1689 du 13 juin 2024, dit « AI Act », art. 6 et annexe III — </w:t>
      </w:r>
      <w:hyperlink r:id="rId13">
        <w:r>
          <w:rPr>
            <w:color w:val="0563C1"/>
            <w:u w:val="single"/>
            <w:rFonts w:ascii="Georgia" w:hAnsi="Georgia"/>
            <w:sz w:val="22"/>
          </w:rPr>
          <w:t>EUR-Lex</w:t>
        </w:r>
      </w:hyperlink>
      <w:r>
        <w:rPr>
          <w:rFonts w:ascii="Georgia" w:hAnsi="Georgia"/>
          <w:sz w:val="18"/>
        </w:rPr>
        <w:t xml:space="preserve"> ; CNIL, </w:t>
      </w:r>
      <w:hyperlink r:id="rId14">
        <w:r>
          <w:rPr>
            <w:color w:val="0563C1"/>
            <w:u w:val="single"/>
            <w:rFonts w:ascii="Georgia" w:hAnsi="Georgia"/>
            <w:sz w:val="22"/>
          </w:rPr>
          <w:t>Questions-réponses sur le AI Act</w:t>
        </w:r>
      </w:hyperlink>
    </w:p>
    <w:p>
      <w:pPr>
        <w:jc w:val="center"/>
      </w:pPr>
      <w:r>
        <w:rPr>
          <w:rFonts w:ascii="Georgia" w:hAnsi="Georgia"/>
          <w:b/>
        </w:rPr>
        <w:t>Ouvrages et articles cités :</w:t>
      </w:r>
    </w:p>
    <w:p>
      <w:pPr>
        <w:pStyle w:val="ListBullet"/>
      </w:pPr>
      <w:r>
        <w:rPr>
          <w:rFonts w:ascii="Georgia" w:hAnsi="Georgia"/>
        </w:rPr>
        <w:t xml:space="preserve">Y. Lambert-Faivre et S. Porchy-Simon, </w:t>
      </w:r>
      <w:r>
        <w:rPr>
          <w:rFonts w:ascii="Georgia" w:hAnsi="Georgia"/>
          <w:i/>
        </w:rPr>
        <w:t>Droit du dommage corporel — Systèmes d'indemnisation</w:t>
      </w:r>
      <w:r>
        <w:rPr>
          <w:rFonts w:ascii="Georgia" w:hAnsi="Georgia"/>
        </w:rPr>
        <w:t>, Dalloz, coll. Précis, 8e éd., 2022</w:t>
      </w:r>
    </w:p>
    <w:p>
      <w:pPr>
        <w:pStyle w:val="ListBullet"/>
      </w:pPr>
      <w:r>
        <w:rPr>
          <w:rFonts w:ascii="Georgia" w:hAnsi="Georgia"/>
        </w:rPr>
        <w:t xml:space="preserve">G. Viney, P. Jourdain et S. Carval, </w:t>
      </w:r>
      <w:r>
        <w:rPr>
          <w:rFonts w:ascii="Georgia" w:hAnsi="Georgia"/>
          <w:i/>
        </w:rPr>
        <w:t>Traité de droit civil — Les conditions de la responsabilité</w:t>
      </w:r>
      <w:r>
        <w:rPr>
          <w:rFonts w:ascii="Georgia" w:hAnsi="Georgia"/>
        </w:rPr>
        <w:t>, LGDJ, 4e éd., 2013</w:t>
      </w:r>
    </w:p>
    <w:p>
      <w:pPr>
        <w:pStyle w:val="ListBullet"/>
      </w:pPr>
      <w:r>
        <w:rPr>
          <w:rFonts w:ascii="Georgia" w:hAnsi="Georgia"/>
        </w:rPr>
        <w:t xml:space="preserve">P. Le Tourneau (dir.), </w:t>
      </w:r>
      <w:r>
        <w:rPr>
          <w:rFonts w:ascii="Georgia" w:hAnsi="Georgia"/>
          <w:i/>
        </w:rPr>
        <w:t>Droit de la responsabilité et des contrats</w:t>
      </w:r>
      <w:r>
        <w:rPr>
          <w:rFonts w:ascii="Georgia" w:hAnsi="Georgia"/>
        </w:rPr>
        <w:t>, Dalloz Action, 2024-2025</w:t>
      </w:r>
    </w:p>
    <w:p>
      <w:pPr>
        <w:pStyle w:val="ListBullet"/>
      </w:pPr>
      <w:r>
        <w:rPr>
          <w:rFonts w:ascii="Georgia" w:hAnsi="Georgia"/>
        </w:rPr>
        <w:t xml:space="preserve">A. Dumery, « La capacité du droit de la responsabilité civile à indemniser les dommages causés par l'IA », </w:t>
      </w:r>
      <w:r>
        <w:rPr>
          <w:rFonts w:ascii="Georgia" w:hAnsi="Georgia"/>
          <w:i/>
        </w:rPr>
        <w:t>Revue économique</w:t>
      </w:r>
      <w:r>
        <w:rPr>
          <w:rFonts w:ascii="Georgia" w:hAnsi="Georgia"/>
        </w:rPr>
        <w:t>, 2025, vol. 76, p. 63-85</w:t>
      </w:r>
    </w:p>
    <w:p>
      <w:pPr>
        <w:pStyle w:val="ListBullet"/>
      </w:pPr>
      <w:r>
        <w:rPr>
          <w:rFonts w:ascii="Georgia" w:hAnsi="Georgia"/>
        </w:rPr>
        <w:t xml:space="preserve">M. Lahana, « DataJust ou l'algorithmisation du dommage corporel : retour sur la décision du Conseil d'État », </w:t>
      </w:r>
      <w:r>
        <w:rPr>
          <w:rFonts w:ascii="Georgia" w:hAnsi="Georgia"/>
          <w:i/>
        </w:rPr>
        <w:t>Village de la Justice</w:t>
      </w:r>
      <w:r>
        <w:rPr>
          <w:rFonts w:ascii="Georgia" w:hAnsi="Georgia"/>
        </w:rPr>
        <w:t>, 2023</w:t>
      </w:r>
    </w:p>
    <w:p>
      <w:pPr>
        <w:pStyle w:val="ListBullet"/>
      </w:pPr>
      <w:r>
        <w:rPr>
          <w:rFonts w:ascii="Georgia" w:hAnsi="Georgia"/>
        </w:rPr>
        <w:t xml:space="preserve">L. Loevinger, « Jurimetrics: The Next Step Forward », </w:t>
      </w:r>
      <w:r>
        <w:rPr>
          <w:rFonts w:ascii="Georgia" w:hAnsi="Georgia"/>
          <w:i/>
        </w:rPr>
        <w:t>Minnesota Law Review</w:t>
      </w:r>
      <w:r>
        <w:rPr>
          <w:rFonts w:ascii="Georgia" w:hAnsi="Georgia"/>
        </w:rPr>
        <w:t>, 1949, vol. 33, p. 455</w:t>
      </w:r>
    </w:p>
    <w:p>
      <w:pPr>
        <w:pStyle w:val="ListBullet"/>
      </w:pPr>
      <w:r>
        <w:rPr>
          <w:rFonts w:ascii="Georgia" w:hAnsi="Georgia"/>
        </w:rPr>
        <w:t xml:space="preserve">C. Quézel-Ambrunaz et V. Rivollier (dir.), </w:t>
      </w:r>
      <w:r>
        <w:rPr>
          <w:rFonts w:ascii="Georgia" w:hAnsi="Georgia"/>
          <w:i/>
        </w:rPr>
        <w:t>Jurimétrie — Revue de la mesure des phénomènes juridiques</w:t>
      </w:r>
      <w:r>
        <w:rPr>
          <w:rFonts w:ascii="Georgia" w:hAnsi="Georgia"/>
        </w:rPr>
        <w:t>, Presses universitaires Savoie Mont Blanc, 2022, 234 p.</w:t>
      </w:r>
    </w:p>
    <w:p>
      <w:pPr>
        <w:pStyle w:val="ListBullet"/>
      </w:pPr>
      <w:r>
        <w:rPr>
          <w:rFonts w:ascii="Georgia" w:hAnsi="Georgia"/>
        </w:rPr>
        <w:t xml:space="preserve">C. Quézel-Ambrunaz (dir.), </w:t>
      </w:r>
      <w:r>
        <w:rPr>
          <w:rFonts w:ascii="Georgia" w:hAnsi="Georgia"/>
          <w:i/>
        </w:rPr>
        <w:t>Demandes, offres, décisions en matière de dommage corporel : étude statistique</w:t>
      </w:r>
      <w:r>
        <w:rPr>
          <w:rFonts w:ascii="Georgia" w:hAnsi="Georgia"/>
        </w:rPr>
        <w:t>, USMB, Centre de recherche en droit Antoine Favre, 2021, 199 p.</w:t>
      </w:r>
    </w:p>
    <w:p>
      <w:pPr>
        <w:pStyle w:val="ListBullet"/>
      </w:pPr>
      <w:r>
        <w:rPr>
          <w:rFonts w:ascii="Georgia" w:hAnsi="Georgia"/>
        </w:rPr>
        <w:t xml:space="preserve">C. Quézel-Ambrunaz et V. Rivollier, « Pour une étude raisonnée de la jurimétrie » et « À la recherche d'une définition de la jurimétrie », in </w:t>
      </w:r>
      <w:r>
        <w:rPr>
          <w:rFonts w:ascii="Georgia" w:hAnsi="Georgia"/>
          <w:i/>
        </w:rPr>
        <w:t>Jurimétrie</w:t>
      </w:r>
      <w:r>
        <w:rPr>
          <w:rFonts w:ascii="Georgia" w:hAnsi="Georgia"/>
        </w:rPr>
        <w:t>, PUSMB, 2022</w:t>
      </w:r>
    </w:p>
    <w:p>
      <w:pPr>
        <w:pStyle w:val="ListBullet"/>
      </w:pPr>
      <w:r>
        <w:rPr>
          <w:rFonts w:ascii="Georgia" w:hAnsi="Georgia"/>
        </w:rPr>
        <w:t xml:space="preserve">C. Quézel-Ambrunaz, « L'indemnisation du Déficit Fonctionnel Temporaire au prisme de la jurimétrie », </w:t>
      </w:r>
      <w:r>
        <w:rPr>
          <w:rFonts w:ascii="Georgia" w:hAnsi="Georgia"/>
          <w:i/>
        </w:rPr>
        <w:t>Lexbase Droit privé</w:t>
      </w:r>
      <w:r>
        <w:rPr>
          <w:rFonts w:ascii="Georgia" w:hAnsi="Georgia"/>
        </w:rPr>
        <w:t>, 2022</w:t>
      </w:r>
    </w:p>
    <w:p>
      <w:pPr>
        <w:pStyle w:val="ListBullet"/>
      </w:pPr>
      <w:r>
        <w:rPr>
          <w:rFonts w:ascii="Georgia" w:hAnsi="Georgia"/>
        </w:rPr>
        <w:t xml:space="preserve">C. Quézel-Ambrunaz, « L'indemnisation des Souffrances endurées au prisme de la jurimétrie », </w:t>
      </w:r>
      <w:r>
        <w:rPr>
          <w:rFonts w:ascii="Georgia" w:hAnsi="Georgia"/>
          <w:i/>
        </w:rPr>
        <w:t>Lexbase Droit privé</w:t>
      </w:r>
      <w:r>
        <w:rPr>
          <w:rFonts w:ascii="Georgia" w:hAnsi="Georgia"/>
        </w:rPr>
        <w:t>, 2022</w:t>
      </w:r>
    </w:p>
    <w:p>
      <w:pPr>
        <w:pStyle w:val="ListBullet"/>
      </w:pPr>
      <w:r>
        <w:rPr>
          <w:rFonts w:ascii="Georgia" w:hAnsi="Georgia"/>
        </w:rPr>
        <w:t xml:space="preserve">C. Quézel-Ambrunaz, « L'indemnisation du préjudice d'affection au prisme de la jurimétrie », </w:t>
      </w:r>
      <w:r>
        <w:rPr>
          <w:rFonts w:ascii="Georgia" w:hAnsi="Georgia"/>
          <w:i/>
        </w:rPr>
        <w:t>Lexbase Droit privé</w:t>
      </w:r>
      <w:r>
        <w:rPr>
          <w:rFonts w:ascii="Georgia" w:hAnsi="Georgia"/>
        </w:rPr>
        <w:t>, 2022</w:t>
      </w:r>
    </w:p>
    <w:p>
      <w:pPr>
        <w:jc w:val="center"/>
      </w:pPr>
      <w:r>
        <w:rPr>
          <w:rFonts w:ascii="Georgia" w:hAnsi="Georgia"/>
          <w:b/>
        </w:rPr>
        <w:t>Textes législatifs et réglementaires :</w:t>
      </w:r>
    </w:p>
    <w:p>
      <w:pPr>
        <w:pStyle w:val="ListBullet"/>
      </w:pPr>
      <w:r>
        <w:rPr>
          <w:rFonts w:ascii="Georgia" w:hAnsi="Georgia"/>
        </w:rPr>
        <w:t>Art. 1240 du Code civil (principe de réparation intégrale)</w:t>
      </w:r>
    </w:p>
    <w:p>
      <w:pPr>
        <w:pStyle w:val="ListBullet"/>
      </w:pPr>
      <w:r>
        <w:rPr>
          <w:rFonts w:ascii="Georgia" w:hAnsi="Georgia"/>
        </w:rPr>
        <w:t>Art. L. 211-9 du Code des assurances (offre d'indemnisation)</w:t>
      </w:r>
    </w:p>
    <w:p>
      <w:pPr>
        <w:pStyle w:val="ListBullet"/>
      </w:pPr>
      <w:r>
        <w:rPr>
          <w:rFonts w:ascii="Georgia" w:hAnsi="Georgia"/>
        </w:rPr>
        <w:t>Art. L. 111-13 du Code de l'organisation judiciaire (loi n° 2019-222 du 23 mars 2019)</w:t>
      </w:r>
    </w:p>
    <w:p>
      <w:pPr>
        <w:pStyle w:val="ListBullet"/>
      </w:pPr>
      <w:r>
        <w:rPr>
          <w:rFonts w:ascii="Georgia" w:hAnsi="Georgia"/>
        </w:rPr>
        <w:t>Art. 66-5 de la loi n° 71-1130 du 31 décembre 1971 (secret professionnel de l'avocat)</w:t>
      </w:r>
    </w:p>
    <w:p>
      <w:pPr>
        <w:pStyle w:val="ListBullet"/>
      </w:pPr>
      <w:r>
        <w:rPr>
          <w:rFonts w:ascii="Georgia" w:hAnsi="Georgia"/>
        </w:rPr>
        <w:t>Art. 9 du RGPD (catégories particulières de données)</w:t>
      </w:r>
    </w:p>
    <w:p>
      <w:pPr>
        <w:pStyle w:val="ListBullet"/>
      </w:pPr>
      <w:r>
        <w:rPr>
          <w:rFonts w:ascii="Georgia" w:hAnsi="Georgia"/>
        </w:rPr>
        <w:t>Résolution 75-7 du Comité des ministres du Conseil de l'Europe (principe de réparation intégrale)</w:t>
      </w:r>
    </w:p>
    <w:p>
      <w:pPr>
        <w:pStyle w:val="ListBullet"/>
      </w:pPr>
      <w:r>
        <w:rPr>
          <w:rFonts w:ascii="Georgia" w:hAnsi="Georgia"/>
        </w:rPr>
        <w:t>Règlement intérieur national de la profession d'avocat (RIN), art. 2 et 4</w:t>
      </w:r>
    </w:p>
    <w:p>
      <w:pPr>
        <w:jc w:val="center"/>
      </w:pPr>
      <w:r>
        <w:rPr>
          <w:rFonts w:ascii="Georgia" w:hAnsi="Georgia"/>
          <w:b/>
        </w:rPr>
        <w:t>Autres sources :</w:t>
      </w:r>
    </w:p>
    <w:p>
      <w:pPr>
        <w:pStyle w:val="ListBullet"/>
      </w:pPr>
      <w:r>
        <w:rPr>
          <w:rFonts w:ascii="Georgia" w:hAnsi="Georgia"/>
        </w:rPr>
        <w:t xml:space="preserve">Themia, « Jurimétrie en 2025 : Guide Pratique pour Cabinets d'Avocats » — </w:t>
      </w:r>
      <w:hyperlink r:id="rId15">
        <w:r>
          <w:rPr>
            <w:color w:val="0563C1"/>
            <w:u w:val="single"/>
            <w:rFonts w:ascii="Georgia" w:hAnsi="Georgia"/>
            <w:sz w:val="22"/>
          </w:rPr>
          <w:t>themia.pro</w:t>
        </w:r>
      </w:hyperlink>
    </w:p>
    <w:p>
      <w:pPr>
        <w:pStyle w:val="ListBullet"/>
      </w:pPr>
      <w:r>
        <w:rPr>
          <w:rFonts w:ascii="Georgia" w:hAnsi="Georgia"/>
          <w:i/>
        </w:rPr>
        <w:t>Acteurs Publics</w:t>
      </w:r>
      <w:r>
        <w:rPr>
          <w:rFonts w:ascii="Georgia" w:hAnsi="Georgia"/>
        </w:rPr>
        <w:t xml:space="preserve">, « Le ministère de la Justice renonce à son algorithme DataJust », 13 janvier 2022 — </w:t>
      </w:r>
      <w:hyperlink r:id="rId16">
        <w:r>
          <w:rPr>
            <w:color w:val="0563C1"/>
            <w:u w:val="single"/>
            <w:rFonts w:ascii="Georgia" w:hAnsi="Georgia"/>
            <w:sz w:val="22"/>
          </w:rPr>
          <w:t>acteurspublics.fr</w:t>
        </w:r>
      </w:hyperlink>
    </w:p>
    <w:p>
      <w:pPr>
        <w:pStyle w:val="ListBullet"/>
      </w:pPr>
      <w:r>
        <w:rPr>
          <w:rFonts w:ascii="Georgia" w:hAnsi="Georgia"/>
        </w:rPr>
        <w:t xml:space="preserve">CNIL, « Questions-réponses sur le AI Act » — </w:t>
      </w:r>
      <w:hyperlink r:id="rId14">
        <w:r>
          <w:rPr>
            <w:color w:val="0563C1"/>
            <w:u w:val="single"/>
            <w:rFonts w:ascii="Georgia" w:hAnsi="Georgia"/>
            <w:sz w:val="22"/>
          </w:rPr>
          <w:t>cnil.fr</w:t>
        </w:r>
      </w:hyperlink>
    </w:p>
    <w:p>
      <w:pPr>
        <w:jc w:val="center"/>
      </w:pPr>
      <w:r>
        <w:rPr>
          <w:rFonts w:ascii="Georgia" w:hAnsi="Georgia"/>
          <w:i/>
        </w:rPr>
        <w:t>Me Patrice Humbert est avocat au Barreau d'Aix-en-Provence, spécialisé en dommage corporel (spécialisation CNB). Fort de plus de 20 ans d'expérience exclusive dans la défense des victimes, il est le premier avocat en France à avoir obtenu une certification en intelligence artificielle. Créateur d'outils d'IA dédiés aux victimes et formateur en juridico-prompt engineering, il exerce au sein de la SELARL LEXVOX AVOCATS, avec des bureaux à Aix-en-Provence, Salon-de-Provence, Arles et Marignane. Contact : contact@avocat-lexvox.com — 04 90 54 58 10 — lexvox-victime.com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france.gouv.fr/jorf/id/JORFTEXT000041763205" TargetMode="External"/><Relationship Id="rId10" Type="http://schemas.openxmlformats.org/officeDocument/2006/relationships/hyperlink" Target="https://www.cnb.avocat.fr/fr/actualites/preconisations-dactions-pour-les-legaltechs-du-domaine-de-la-jurimetrie" TargetMode="External"/><Relationship Id="rId11" Type="http://schemas.openxmlformats.org/officeDocument/2006/relationships/hyperlink" Target="https://www.avocatparis.org/sites/bdp/files/2024-10/R%C3%A9f%C3%A9rentiel%20indicatif%20de%20l'indemnisation%20du%20pr%C3%A9judice%20corporel%20des%20CA%20-%20septembre%202024.pdf" TargetMode="External"/><Relationship Id="rId12" Type="http://schemas.openxmlformats.org/officeDocument/2006/relationships/hyperlink" Target="https://www.legifrance.gouv.fr/juri/id/JURITEXT000051824029" TargetMode="External"/><Relationship Id="rId13" Type="http://schemas.openxmlformats.org/officeDocument/2006/relationships/hyperlink" Target="https://eur-lex.europa.eu/eli/reg/2024/1689/oj?locale=fr" TargetMode="External"/><Relationship Id="rId14" Type="http://schemas.openxmlformats.org/officeDocument/2006/relationships/hyperlink" Target="https://www.cnil.fr/fr/entree-en-vigueur-du-reglement-europeen-sur-lia-les-premieres-questions-reponses-de-la-cnil" TargetMode="External"/><Relationship Id="rId15" Type="http://schemas.openxmlformats.org/officeDocument/2006/relationships/hyperlink" Target="https://themia.pro/blog/c-est-quoi-la-jurimetrie" TargetMode="External"/><Relationship Id="rId16" Type="http://schemas.openxmlformats.org/officeDocument/2006/relationships/hyperlink" Target="https://acteurspublics.fr/articles/exclusif-le-ministere-de-la-justice-renonce-a-son-algorithme-dataj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