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L'intelligence artificielle au service des victimes de dommage corporel : de la jurimétrie au juridico-prompt engineering</w:t>
      </w:r>
    </w:p>
    <w:p>
      <w:pPr>
        <w:jc w:val="center"/>
      </w:pPr>
      <w:r>
        <w:rPr>
          <w:b/>
          <w:sz w:val="24"/>
        </w:rPr>
        <w:t>Par Me Patrice Humbert, SELARL LEXVOX AVOCATS, Barreau d'Aix-en-Provence</w:t>
      </w:r>
    </w:p>
    <w:p>
      <w:pPr>
        <w:jc w:val="center"/>
      </w:pPr>
      <w:r>
        <w:rPr>
          <w:i/>
          <w:sz w:val="20"/>
        </w:rPr>
        <w:t>Avocat spécialisé en dommage corporel — Premier avocat certifié en intelligence artificielle en France</w:t>
      </w:r>
    </w:p>
    <w:p>
      <w:pPr>
        <w:pStyle w:val="Heading2"/>
      </w:pPr>
      <w:r>
        <w:t>Introduction</w:t>
      </w:r>
    </w:p>
    <w:p>
      <w:r>
        <w:t xml:space="preserve">J'exerce depuis plus de vingt ans exclusivement en dommage corporel. Cette pratique m'a confronté, dossier après dossier, à un paradoxe que Geneviève Viney identifiait déjà dans son </w:t>
      </w:r>
      <w:r>
        <w:rPr>
          <w:i/>
        </w:rPr>
        <w:t>Traité de droit civil</w:t>
      </w:r>
      <w:r>
        <w:t xml:space="preserve"> : le principe de réparation intégrale, aussi fermement consacré soit-il par la jurisprudence de la Cour de cassation, se heurte dans sa mise en œuvre à des disparités d'évaluation que la doctrine qualifie — à juste titre — de « loterie judiciaire » (Y. Lambert-Faivre et S. Porchy-Simon, </w:t>
      </w:r>
      <w:r>
        <w:rPr>
          <w:i/>
        </w:rPr>
        <w:t>Droit du dommage corporel</w:t>
      </w:r>
      <w:r>
        <w:t>, Dalloz, 8e éd., 2022, n° 48).</w:t>
      </w:r>
    </w:p>
    <w:p>
      <w:r>
        <w:t>Quand une victime de la route arrive dans mon cabinet de Salon-de-Provence ou d'Aix-en-Provence avec son rapport d'expertise sous le bras, elle fait face à un assureur qui dispose d'un département sinistres de trente juristes, de logiciels de chiffrage calibrés pour minimiser les offres d'indemnisation au sens de l'article L. 211-9 du Code des assurances, et de bases de données agrégeant des dizaines de milliers de dossiers antérieurs. La victime, elle, a sa souffrance et un document médical qu'elle comprend à peine.</w:t>
      </w:r>
    </w:p>
    <w:p>
      <w:r>
        <w:t>C'est cette asymétrie — structurelle, pas conjoncturelle — qui m'a conduit à m'intéresser à l'intelligence artificielle. Non par fascination technologique, mais par nécessité déontologique. Comme le rappelle Philippe Le Tourneau, l'obligation de compétence de l'avocat implique la maîtrise des outils disponibles pour servir au mieux les intérêts de son client (</w:t>
      </w:r>
      <w:r>
        <w:rPr>
          <w:i/>
        </w:rPr>
        <w:t>Droit de la responsabilité et des contrats</w:t>
      </w:r>
      <w:r>
        <w:t>, Dalloz Action, 2024). L'IA, utilisée avec la rigueur méthodologique qu'exige notre profession, offre aujourd'hui la possibilité de rétablir effectivement le principe d'égalité des armes entre victimes et assureurs.</w:t>
      </w:r>
    </w:p>
    <w:p>
      <w:r>
        <w:t>Je souhaite partager ici mon analyse et mon retour d'expérience, en abordant successivement : la leçon de l'échec DataJust (I), ce qu'apporte réellement la jurimétrie (II), le panorama des outils de justice prédictive (III), le rétablissement de l'égalité des armes face aux assureurs (IV), mes propres développements en matière de Skills juridiques et de juridico-prompt engineering (V), les garde-fous éthiques indispensables (VI), et ce que le AI Act européen va changer (VII).</w:t>
      </w:r>
    </w:p>
    <w:p>
      <w:pPr>
        <w:pStyle w:val="Heading2"/>
      </w:pPr>
      <w:r>
        <w:t>I. DataJust : les raisons d'un échec qui était prévisible</w:t>
      </w:r>
    </w:p>
    <w:p>
      <w:pPr>
        <w:pStyle w:val="Heading3"/>
      </w:pPr>
      <w:r>
        <w:t>A. Un projet né dans l'urgence</w:t>
      </w:r>
    </w:p>
    <w:p>
      <w:r>
        <w:t>Le décret n° 2020-356 du 27 mars 2020 a autorisé la création d'un traitement dénommé « DataJust ». L'idée, sur le papier, était séduisante : exploiter les décisions d'appel rendues entre 2017 et 2019 pour construire un référentiel algorithmique d'indemnisation des préjudices corporels[^1].</w:t>
      </w:r>
    </w:p>
    <w:p>
      <w:r>
        <w:t>Je dois être honnête : quand ce décret a été publié — en plein confinement, ce qui n'a sans doute pas aidé au débat —, j'ai été partagé. D'un côté, l'objectif de réduire les disparités d'indemnisation entre juridictions est légitime. Quiconque a plaidé le même type de dossier devant le TJ d'Aix-en-Provence et devant celui de Paris sait que les écarts peuvent être considérables. De l'autre, l'approche exclusivement algorithmique me semblait vouée à l'échec pour une raison simple : le dommage corporel n'est pas réductible à des moyennes.</w:t>
      </w:r>
    </w:p>
    <w:p>
      <w:pPr>
        <w:pStyle w:val="Heading3"/>
      </w:pPr>
      <w:r>
        <w:t>B. L'abandon et ce qu'il nous enseigne</w:t>
      </w:r>
    </w:p>
    <w:p>
      <w:r>
        <w:t>Le Conseil d'État a validé le dispositif le 30 décembre 2021 (n° 449081)[^2]. Quinze jours plus tard, le 13 janvier 2022, le ministère de la Justice y renonçait. L'ironie est frappante.</w:t>
      </w:r>
    </w:p>
    <w:p>
      <w:r>
        <w:t>Les raisons de cet échec sont instructives pour quiconque travaille sur l'IA appliquée au droit :</w:t>
      </w:r>
    </w:p>
    <w:p>
      <w:pPr>
        <w:pStyle w:val="ListBullet"/>
      </w:pPr>
      <w:r>
        <w:t>La base de données était biaisée : seules les décisions d'appel y figuraient. Or, environ 90 % des dossiers de dommage corporel se règlent par transaction amiable. Construire un algorithme sur 10 % de la réalité, c'est bâtir sur du sable.</w:t>
      </w:r>
    </w:p>
    <w:p>
      <w:pPr>
        <w:pStyle w:val="ListBullet"/>
      </w:pPr>
      <w:r>
        <w:t>Le ministère a lui-même admis que « le préjudice corporel est intrinsèquement très compliqué, avec 40 dimensions à prendre en compte ».</w:t>
      </w:r>
    </w:p>
    <w:p>
      <w:pPr>
        <w:pStyle w:val="ListBullet"/>
      </w:pPr>
      <w:r>
        <w:t>La nomenclature Dintilhac identifie 27 postes de préjudice, mais chacun d'entre eux connaît des variations considérables selon l'âge, la profession, la situation familiale et les séquelles spécifiques de la victime. Aucun algorithme ne peut capturer cette singularité sans supervision humaine.</w:t>
      </w:r>
    </w:p>
    <w:p>
      <w:r>
        <w:t>L'enseignement principal de DataJust est limpide : l'IA ne peut pas remplacer le praticien. Elle peut — et doit — l'assister.</w:t>
      </w:r>
    </w:p>
    <w:p>
      <w:pPr>
        <w:pStyle w:val="Heading2"/>
      </w:pPr>
      <w:r>
        <w:t>II. La jurimétrie : remettre les mots justes sur une réalité ancienne</w:t>
      </w:r>
    </w:p>
    <w:p>
      <w:pPr>
        <w:pStyle w:val="Heading3"/>
      </w:pPr>
      <w:r>
        <w:t>A. Arrêtons de parler de « justice prédictive »</w:t>
      </w:r>
    </w:p>
    <w:p>
      <w:r>
        <w:t xml:space="preserve">Le CNB a rendu, lors de son assemblée générale du 9 octobre 2020, un rapport remarquable sur les legaltechs du domaine de la jurimétrie, accompagné de 14 préconisations d'actions[^3]. La première d'entre elles — et je la soutiens pleinement — est de bannir l'expression « justice prédictive » au profit du terme </w:t>
      </w:r>
      <w:r>
        <w:rPr>
          <w:b/>
        </w:rPr>
        <w:t>jurimétrie</w:t>
      </w:r>
      <w:r>
        <w:t>.</w:t>
      </w:r>
    </w:p>
    <w:p>
      <w:r>
        <w:t xml:space="preserve">Pourquoi ? Parce que « justice prédictive » est un concept marketing, pas une réalité scientifique. Le professeur Christophe Quézel-Ambrunaz, titulaire de la chaire de droit du dommage corporel à l'Université Savoie Mont Blanc et membre de l'Institut universitaire de France, a contribué de manière décisive à cette clarification conceptuelle. Dans la revue </w:t>
      </w:r>
      <w:r>
        <w:rPr>
          <w:i/>
        </w:rPr>
        <w:t>Jurimétrie</w:t>
      </w:r>
      <w:r>
        <w:t xml:space="preserve"> qu'il codirige avec Vincent Rivollier (Presses universitaires Savoie Mont Blanc, 2022), il définit la jurimétrie comme « une méthode particulière de connaissance des phénomènes juridiques, faisant appel aux mathématiques » — un « ensemble des méthodes de l'étude du droit qui traitent par les mathématiques les données statistiques relatives aux phénomènes juridiques afin d'en améliorer l'analyse ou d'en dégager des lois ou des relations constantes ».</w:t>
      </w:r>
    </w:p>
    <w:p>
      <w:r>
        <w:t xml:space="preserve">Les travaux jurimétriques du professeur Quézel-Ambrunaz sont particulièrement éclairants pour notre matière. Son étude empirique </w:t>
      </w:r>
      <w:r>
        <w:rPr>
          <w:i/>
        </w:rPr>
        <w:t>Demandes, offres, décisions en matière de dommage corporel</w:t>
      </w:r>
      <w:r>
        <w:t xml:space="preserve"> (Université Savoie Mont Blanc, CRDA Favre, 2021) a démontré, données à l'appui, l'ampleur des écarts entre les demandes des victimes, les offres des assureurs et les décisions des tribunaux. Ses analyses poste par poste — déficit fonctionnel temporaire, souffrances endurées, préjudice d'affection — publiées dans </w:t>
      </w:r>
      <w:r>
        <w:rPr>
          <w:i/>
        </w:rPr>
        <w:t>Lexbase Droit privé</w:t>
      </w:r>
      <w:r>
        <w:t xml:space="preserve"> (2022), constituent des références méthodologiques que j'utilise quotidiennement. Son projet de recherche POODRE (« Potentialités de l'Open Data des décisions de justice en matière de Responsabilité civile et de réparation du dommage corporel ») ouvre par ailleurs des perspectives considérables pour l'exploitation systématique des décisions de justice en open data.</w:t>
      </w:r>
    </w:p>
    <w:p>
      <w:r>
        <w:t>Dans ma pratique, j'observe que la confusion terminologique entre « justice prédictive » et jurimétrie nuit gravement au débat. Des victimes arrivent en consultation persuadées qu'un « algorithme » va leur dire combien elles vont toucher. Ce n'est pas ainsi que les choses fonctionnent. L'outil mesure ; l'avocat interprète, contextualise et plaide.</w:t>
      </w:r>
    </w:p>
    <w:p>
      <w:pPr>
        <w:pStyle w:val="Heading3"/>
      </w:pPr>
      <w:r>
        <w:t>B. Themia et l'intelligence jurimétrique en pratique</w:t>
      </w:r>
    </w:p>
    <w:p>
      <w:r>
        <w:t>Parmi les outils que j'utilise, Themia occupe une place particulière. Sa conception est centrée sur le dommage corporel, ce qui le distingue des solutions généralistes.</w:t>
      </w:r>
    </w:p>
    <w:p>
      <w:r>
        <w:t>Un exemple concret : pour un dossier récent impliquant un préjudice esthétique temporaire coté 2/7, Themia m'a permis d'accéder à 61 décisions pertinentes, avec une moyenne de 650 euros et une fourchette de 300 à 1 200 euros. Mais l'intérêt véritable ne réside pas dans la moyenne — il réside dans la possibilité de filtrer par juridiction, par âge et par taux de DFP, et d'accéder au texte intégral de chaque décision avec les montants surlignés.</w:t>
      </w:r>
    </w:p>
    <w:p>
      <w:r>
        <w:t>C'est cette granularité qui fait la différence en négociation. Quand je peux démontrer à un inspecteur de compagnie que son offre se situe dans le quartile inférieur de la jurisprudence du TJ d'Aix-en-Provence, chiffres à l'appui et décisions à l'écran, le rapport de force change.</w:t>
      </w:r>
    </w:p>
    <w:p>
      <w:pPr>
        <w:pStyle w:val="Heading2"/>
      </w:pPr>
      <w:r>
        <w:t>III. Panorama critique des outils de justice prédictive</w:t>
      </w:r>
    </w:p>
    <w:p>
      <w:pPr>
        <w:pStyle w:val="Heading3"/>
      </w:pPr>
      <w:r>
        <w:t>A. Ce qui existe en France</w:t>
      </w:r>
    </w:p>
    <w:p>
      <w:r>
        <w:t>L'écosystème français s'est structuré autour de quelques acteurs :</w:t>
      </w:r>
    </w:p>
    <w:p>
      <w:pPr>
        <w:pStyle w:val="ListBullet"/>
      </w:pPr>
      <w:r>
        <w:rPr>
          <w:b/>
        </w:rPr>
        <w:t>Case Law Analytics</w:t>
      </w:r>
      <w:r>
        <w:t xml:space="preserve"> (désormais intégrée à Lexis+) modélise 100 scénarios probabilistes pour chaque poste de préjudice. L'approche est rigoureuse, fondée sur les travaux de l'Université Toulouse-Capitole.</w:t>
      </w:r>
    </w:p>
    <w:p>
      <w:pPr>
        <w:pStyle w:val="ListBullet"/>
      </w:pPr>
      <w:r>
        <w:rPr>
          <w:b/>
        </w:rPr>
        <w:t>Predictice</w:t>
      </w:r>
      <w:r>
        <w:t xml:space="preserve"> (rachetée par Doctrine en 2025) exploite le NLP pour extraire les motifs décisionnels. L'outil est performant pour le contentieux commercial, moins pour le dommage corporel où la singularité de chaque victime résiste à la modélisation.</w:t>
      </w:r>
    </w:p>
    <w:p>
      <w:pPr>
        <w:pStyle w:val="ListBullet"/>
      </w:pPr>
      <w:r>
        <w:rPr>
          <w:b/>
        </w:rPr>
        <w:t>Quantum</w:t>
      </w:r>
      <w:r>
        <w:t xml:space="preserve"> (Juri-Solutions) n'est pas un outil prédictif à proprement parler, mais un calculateur de préjudices d'une grande rigueur.</w:t>
      </w:r>
    </w:p>
    <w:p>
      <w:r>
        <w:t>Le rapport du CNB de 2020 avait d'ailleurs évalué 12 solutions, et conclu que seule Case Law Analytics présentait les caractéristiques d'une « technologie de rupture »[^4].</w:t>
      </w:r>
    </w:p>
    <w:p>
      <w:pPr>
        <w:pStyle w:val="Heading3"/>
      </w:pPr>
      <w:r>
        <w:t>B. Les limites que je constate au quotidien</w:t>
      </w:r>
    </w:p>
    <w:p>
      <w:r>
        <w:t>En vingt ans de pratique, j'ai appris à me méfier des chiffres décontextualisés. Trois limites me préoccupent :</w:t>
      </w:r>
    </w:p>
    <w:p>
      <w:r>
        <w:t xml:space="preserve">Premièrement, </w:t>
      </w:r>
      <w:r>
        <w:rPr>
          <w:b/>
        </w:rPr>
        <w:t>le biais de sélection</w:t>
      </w:r>
      <w:r>
        <w:t>. Les bases ne contiennent que les décisions publiées. Les transactions amiables — où l'assureur offre souvent moins — n'y figurent pas. Le praticien qui se fie uniquement aux données jurimétriques risque de surestimer l'indemnisation probable dans un contexte transactionnel.</w:t>
      </w:r>
    </w:p>
    <w:p>
      <w:r>
        <w:t xml:space="preserve">Deuxièmement, </w:t>
      </w:r>
      <w:r>
        <w:rPr>
          <w:b/>
        </w:rPr>
        <w:t>l'opacité</w:t>
      </w:r>
      <w:r>
        <w:t>. Le code source de ces outils reste un secret industriel. Le CNB a bien adopté une charte éthique sur la transparence, mais l'adhésion est volontaire. En tant qu'avocat, je ne peux pas plaider sur la base de chiffres dont je ne maîtrise pas la méthodologie de production.</w:t>
      </w:r>
    </w:p>
    <w:p>
      <w:r>
        <w:t xml:space="preserve">Troisièmement, </w:t>
      </w:r>
      <w:r>
        <w:rPr>
          <w:b/>
        </w:rPr>
        <w:t>le risque de circularité</w:t>
      </w:r>
      <w:r>
        <w:t>. Si les juges s'appuient sur des fourchettes prédictives pour fixer les indemnisations, et que ces indemnisations alimentent les bases de données prédictives, on crée un système autoréférentiel qui fige la jurisprudence. C'est l'exact contraire de ce que le principe de réparation intégrale exige.</w:t>
      </w:r>
    </w:p>
    <w:p>
      <w:pPr>
        <w:pStyle w:val="Heading2"/>
      </w:pPr>
      <w:r>
        <w:t>IV. L'égalité des armes : un principe enfin effectif grâce à l'IA</w:t>
      </w:r>
    </w:p>
    <w:p>
      <w:pPr>
        <w:pStyle w:val="Heading3"/>
      </w:pPr>
      <w:r>
        <w:t>A. Un déséquilibre que la doctrine et ma pratique documentent depuis des décennies</w:t>
      </w:r>
    </w:p>
    <w:p>
      <w:r>
        <w:t xml:space="preserve">L'article 6§1 de la Convention européenne des droits de l'homme consacre le principe d'égalité des armes, que la CEDH a défini dans l'arrêt </w:t>
      </w:r>
      <w:r>
        <w:rPr>
          <w:i/>
        </w:rPr>
        <w:t>Dombo Beheer B.V. c. Pays-Bas</w:t>
      </w:r>
      <w:r>
        <w:t xml:space="preserve"> (27 octobre 1993, n° 14448/88) comme exigeant que chaque partie dispose d'une « possibilité raisonnable de présenter sa cause dans des conditions qui ne la placent pas dans une situation de net désavantage par rapport à son adversaire »[^5]. Ce principe procédural, d'application directe en droit interne depuis la jurisprudence </w:t>
      </w:r>
      <w:r>
        <w:rPr>
          <w:i/>
        </w:rPr>
        <w:t>Jacques Vabre</w:t>
      </w:r>
      <w:r>
        <w:t xml:space="preserve"> (Cass. ch. mixte, 24 mai 1975) et </w:t>
      </w:r>
      <w:r>
        <w:rPr>
          <w:i/>
        </w:rPr>
        <w:t>Nicolo</w:t>
      </w:r>
      <w:r>
        <w:t xml:space="preserve"> (CE, 20 octobre 1989), devrait irriguer l'ensemble du processus indemnitaire.</w:t>
      </w:r>
    </w:p>
    <w:p>
      <w:r>
        <w:t>Or, la réalité de la pratique contredit cette exigence conventionnelle. Lambert-Faivre et Porchy-Simon soulignent que « l'assureur dispose d'une infrastructure technique et juridique sans commune mesure avec les moyens de la victime » (</w:t>
      </w:r>
      <w:r>
        <w:rPr>
          <w:i/>
        </w:rPr>
        <w:t>op. cit.</w:t>
      </w:r>
      <w:r>
        <w:t>, n° 52). Dans ma pratique quotidienne, j'ai mesuré cette asymétrie : des inspecteurs de compagnie utilisant des logiciels de chiffrage internes — Covéa, Groupama et AXA disposent chacun de leur propre outil — dont ils refusent de communiquer les paramètres ; des médecins-conseils d'assurance omettant systématiquement certains postes de préjudice, notamment les souffrances endurées post-consolidation et le préjudice d'agrément ; des victimes acceptant des transactions à 30 % de ce qu'un tribunal leur aurait accordé, faute de moyens d'évaluation indépendants.</w:t>
      </w:r>
    </w:p>
    <w:p>
      <w:r>
        <w:t>Le rapport du CNB de 2020 l'avait d'ailleurs souligné : « une situation d'asymétrie ne serait pas acceptable pour la Justice ». C'est exactement ce que nous vivons.</w:t>
      </w:r>
    </w:p>
    <w:p>
      <w:pPr>
        <w:pStyle w:val="Heading3"/>
      </w:pPr>
      <w:r>
        <w:t>B. Comment l'IA rétablit l'équilibre</w:t>
      </w:r>
    </w:p>
    <w:p>
      <w:r>
        <w:t>Aujourd'hui, pour la première fois dans l'histoire de notre profession, un avocat de victime peut disposer d'outils analytiques comparables — et parfois supérieurs — à ceux des assureurs. Concrètement, dans mon cabinet :</w:t>
      </w:r>
    </w:p>
    <w:p>
      <w:pPr>
        <w:pStyle w:val="ListBullet"/>
      </w:pPr>
      <w:r>
        <w:rPr>
          <w:b/>
        </w:rPr>
        <w:t>En phase de négociation</w:t>
      </w:r>
      <w:r>
        <w:t>, j'oppose à l'offre de l'assureur les données jurimétriques de Themia, filtrées par la juridiction compétente. L'inspecteur sait que si je conteste son offre, je dispose des mêmes données que lui — parfois de meilleures, car les bases publiques intègrent la jurisprudence la plus récente.</w:t>
      </w:r>
    </w:p>
    <w:p>
      <w:pPr>
        <w:pStyle w:val="ListBullet"/>
      </w:pPr>
      <w:r>
        <w:rPr>
          <w:b/>
        </w:rPr>
        <w:t>En phase d'expertise</w:t>
      </w:r>
      <w:r>
        <w:t>, l'IA m'aide à préparer les dires à expert en identifiant les postes potentiellement omis et les incohérences du rapport.</w:t>
      </w:r>
    </w:p>
    <w:p>
      <w:pPr>
        <w:pStyle w:val="ListBullet"/>
      </w:pPr>
      <w:r>
        <w:rPr>
          <w:b/>
        </w:rPr>
        <w:t>En phase contentieuse</w:t>
      </w:r>
      <w:r>
        <w:t>, les données jurimétriques viennent étayer mes demandes poste par poste, avec une force probante que les référentiels papier traditionnels ne permettaient pas.</w:t>
      </w:r>
    </w:p>
    <w:p>
      <w:r>
        <w:t>C'est un changement de paradigme. L'égalité des armes n'est plus un principe abstrait — c'est une réalité opérationnelle.</w:t>
      </w:r>
    </w:p>
    <w:p>
      <w:pPr>
        <w:pStyle w:val="Heading2"/>
      </w:pPr>
      <w:r>
        <w:t>V. Du protocole MCP aux Skills juridiques : mon retour d'expérience</w:t>
      </w:r>
    </w:p>
    <w:p>
      <w:pPr>
        <w:pStyle w:val="Heading3"/>
      </w:pPr>
      <w:r>
        <w:t>A. Le protocole MCP : connecter l'IA aux données juridiques</w:t>
      </w:r>
    </w:p>
    <w:p>
      <w:r>
        <w:t>Le Model Context Protocol (MCP), développé par Anthropic, constitue à mon sens l'avancée architecturale la plus significative pour notre profession. Ce protocole standardisé permet de connecter un modèle de langage — en l'occurrence Claude — à des sources de données externes en temps réel.</w:t>
      </w:r>
    </w:p>
    <w:p>
      <w:r>
        <w:t>Dans mon cabinet, j'ai mis en place une architecture où Claude, via le protocole MCP, peut interroger simultanément des bases jurisprudentielles (Lexbase, Themia), des référentiels d'indemnisation et des textes de loi (Légifrance). Le tout dans un environnement sécurisé où les données ne quittent pas l'infrastructure du cabinet.</w:t>
      </w:r>
    </w:p>
    <w:p>
      <w:r>
        <w:t>Ce n'est pas de la science-fiction. C'est opérationnel. Quand je prépare des conclusions pour un dossier de traumatisme crânien devant le TJ d'Aix, je peux en une seule session de travail :</w:t>
      </w:r>
    </w:p>
    <w:p>
      <w:pPr>
        <w:pStyle w:val="ListBullet"/>
      </w:pPr>
      <w:r>
        <w:t>vérifier les montants accordés pour un DFP comparable dans les trois dernières années ;</w:t>
      </w:r>
    </w:p>
    <w:p>
      <w:pPr>
        <w:pStyle w:val="ListBullet"/>
      </w:pPr>
      <w:r>
        <w:t>croiser ces données avec le référentiel Mornet actualisé en 2024[^6] ;</w:t>
      </w:r>
    </w:p>
    <w:p>
      <w:pPr>
        <w:pStyle w:val="ListBullet"/>
      </w:pPr>
      <w:r>
        <w:t>identifier les arrêts de la Cour de cassation pertinents, y compris les plus récents comme l'arrêt d'assemblée plénière du 27 juin 2025 (n° 22-21.812) sur la perte de chance[^7] ;</w:t>
      </w:r>
    </w:p>
    <w:p>
      <w:pPr>
        <w:pStyle w:val="ListBullet"/>
      </w:pPr>
      <w:r>
        <w:t>structurer une argumentation poste par poste intégrant l'ensemble de ces données.</w:t>
      </w:r>
    </w:p>
    <w:p>
      <w:pPr>
        <w:pStyle w:val="Heading3"/>
      </w:pPr>
      <w:r>
        <w:t>B. Les Skills juridiques : industrialiser la rigueur</w:t>
      </w:r>
    </w:p>
    <w:p>
      <w:r>
        <w:t>J'ai développé ce que j'appelle des « Skills » — des protocoles d'exécution structurés, conçus pour des tâches juridiques spécifiques. Ce ne sont pas de simples prompts. Ce sont des architectures méthodologiques qui encapsulent mon expertise de praticien dans un format reproductible et traçable.</w:t>
      </w:r>
    </w:p>
    <w:p>
      <w:r>
        <w:t>Quelques exemples :</w:t>
      </w:r>
    </w:p>
    <w:p>
      <w:pPr>
        <w:pStyle w:val="ListBullet"/>
      </w:pPr>
      <w:r>
        <w:rPr>
          <w:b/>
        </w:rPr>
        <w:t>Skill d'analyse de rapport d'expertise</w:t>
      </w:r>
      <w:r>
        <w:t xml:space="preserve"> : extraction structurée des conclusions médicales, identification des postes de préjudice potentiels, vérification de la cohérence entre les doléances et les conclusions ;</w:t>
      </w:r>
    </w:p>
    <w:p>
      <w:pPr>
        <w:pStyle w:val="ListBullet"/>
      </w:pPr>
      <w:r>
        <w:rPr>
          <w:b/>
        </w:rPr>
        <w:t>Skill de chiffrage Dintilhac</w:t>
      </w:r>
      <w:r>
        <w:t xml:space="preserve"> : calcul automatisé de chaque poste avec référencement jurisprudentiel par juridiction ;</w:t>
      </w:r>
    </w:p>
    <w:p>
      <w:pPr>
        <w:pStyle w:val="ListBullet"/>
      </w:pPr>
      <w:r>
        <w:rPr>
          <w:b/>
        </w:rPr>
        <w:t>Skill de vérification juridique</w:t>
      </w:r>
      <w:r>
        <w:t xml:space="preserve"> : contrôle systématique des références de textes et de jurisprudence via Légifrance et Lexbase.</w:t>
      </w:r>
    </w:p>
    <w:p>
      <w:r>
        <w:t>L'intérêt de cette approche est double : elle garantit l'exhaustivité (aucun poste de préjudice oublié) et elle libère du temps pour ce qui constitue le cœur de notre métier — l'écoute de la victime, la stratégie, la plaidoirie.</w:t>
      </w:r>
    </w:p>
    <w:p>
      <w:pPr>
        <w:pStyle w:val="Heading3"/>
      </w:pPr>
      <w:r>
        <w:t>C. Le juridico-prompt engineering : une compétence que nous devons développer</w:t>
      </w:r>
    </w:p>
    <w:p>
      <w:r>
        <w:t>J'utilise le terme de « juridico-prompt engineering » pour désigner l'art de formuler des instructions à un modèle d'IA en intégrant les contraintes spécifiques du raisonnement juridique. C'est une compétence technique et juridique à la fois, et je suis convaincu qu'elle fera partie de la formation des avocats dans les années à venir.</w:t>
      </w:r>
    </w:p>
    <w:p>
      <w:r>
        <w:t>Les principes que j'ai identifiés à travers ma pratique :</w:t>
      </w:r>
    </w:p>
    <w:p>
      <w:pPr>
        <w:pStyle w:val="ListNumber"/>
      </w:pPr>
      <w:r>
        <w:rPr>
          <w:b/>
        </w:rPr>
        <w:t>Contextualisation normative systématique</w:t>
      </w:r>
      <w:r>
        <w:t xml:space="preserve"> — chaque requête spécifie le régime juridique applicable, la juridiction compétente et les textes de référence. Sans cela, le modèle produit du droit « générique » qui n'a aucune valeur ;</w:t>
      </w:r>
    </w:p>
    <w:p>
      <w:pPr>
        <w:pStyle w:val="ListNumber"/>
      </w:pPr>
      <w:r>
        <w:rPr>
          <w:b/>
        </w:rPr>
        <w:t>Décomposition par poste Dintilhac</w:t>
      </w:r>
      <w:r>
        <w:t xml:space="preserve"> — traiter chaque poste séparément avec ses propres paramètres, au lieu de demander une évaluation globale ;</w:t>
      </w:r>
    </w:p>
    <w:p>
      <w:pPr>
        <w:pStyle w:val="ListNumber"/>
      </w:pPr>
      <w:r>
        <w:rPr>
          <w:b/>
        </w:rPr>
        <w:t>Exigence de sourçage</w:t>
      </w:r>
      <w:r>
        <w:t xml:space="preserve"> — chaque affirmation doit être adossée à une référence vérifiable. C'est la seule façon de garantir la fiabilité ;</w:t>
      </w:r>
    </w:p>
    <w:p>
      <w:pPr>
        <w:pStyle w:val="ListNumber"/>
      </w:pPr>
      <w:r>
        <w:rPr>
          <w:b/>
        </w:rPr>
        <w:t>Garde-fous déontologiques intégrés</w:t>
      </w:r>
      <w:r>
        <w:t xml:space="preserve"> — les instructions incluent le respect du RIN, l'interdiction de promettre un résultat (obligation de moyens) et le respect du secret professionnel.</w:t>
      </w:r>
    </w:p>
    <w:p>
      <w:pPr>
        <w:pStyle w:val="Heading3"/>
      </w:pPr>
      <w:r>
        <w:t>D. Sécurisation : un impératif non négociable</w:t>
      </w:r>
    </w:p>
    <w:p>
      <w:r>
        <w:t>Je tiens à être clair sur ce point : l'utilisation de l'IA en cabinet d'avocats ne peut se concevoir sans un cadre de sécurisation rigoureux. Les données de nos clients — dossiers médicaux, expertises, éléments patrimoniaux — relèvent du secret professionnel (article 66-5 de la loi du 31 décembre 1971) et constituent des données sensibles au sens du RGPD (article 9).</w:t>
      </w:r>
    </w:p>
    <w:p>
      <w:r>
        <w:t>Dans mon cabinet, j'applique quatre principes : anonymisation avant tout traitement IA, contrôle des flux via des API sécurisées, journalisation complète des requêtes, et validation humaine systématique de tout résultat avant utilisation. Aucun raccourci n'est acceptable sur ces points.</w:t>
      </w:r>
    </w:p>
    <w:p>
      <w:pPr>
        <w:pStyle w:val="Heading2"/>
      </w:pPr>
      <w:r>
        <w:t>VI. Garde-fous éthiques et juridiques</w:t>
      </w:r>
    </w:p>
    <w:p>
      <w:pPr>
        <w:pStyle w:val="Heading3"/>
      </w:pPr>
      <w:r>
        <w:t>A. Le principe de réparation intégrale comme boussole</w:t>
      </w:r>
    </w:p>
    <w:p>
      <w:r>
        <w:t>Quelle que soit la sophistication des outils, le principe directeur reste celui de la réparation intégrale (art. 1240 du Code civil ; Cass. 2e civ., 28 mai 2009, n° 08-16.829). La victime doit être replacée dans la situation qui aurait été la sienne sans le fait dommageable — ni perte, ni profit[^8].</w:t>
      </w:r>
    </w:p>
    <w:p>
      <w:r>
        <w:t>La Cour de cassation l'a rappelé avec force en 2024, notamment dans un arrêt du 7 novembre 2024 (n° 23-12.369) précisant que l'autorité de la chose jugée ne saurait être opposée à un préjudice non réparé[^9]. Ce principe suppose une évaluation individualisée que l'IA, par construction, ne peut assurer seule.</w:t>
      </w:r>
    </w:p>
    <w:p>
      <w:pPr>
        <w:pStyle w:val="Heading3"/>
      </w:pPr>
      <w:r>
        <w:t>B. L'interdiction du profilage des magistrats</w:t>
      </w:r>
    </w:p>
    <w:p>
      <w:r>
        <w:t>L'article L. 111-13 du Code de l'organisation judiciaire (loi n° 2019-222 du 23 mars 2019) interdit la réutilisation des données d'identité des magistrats pour évaluer ou prédire leurs pratiques. Cette disposition, unique en Europe, constitue un garde-fou essentiel que les outils de jurimétrie doivent impérativement respecter.</w:t>
      </w:r>
    </w:p>
    <w:p>
      <w:pPr>
        <w:pStyle w:val="Heading2"/>
      </w:pPr>
      <w:r>
        <w:t>VII. Le AI Act : ce qui va changer à partir de 2026</w:t>
      </w:r>
    </w:p>
    <w:p>
      <w:r>
        <w:t>Le règlement (UE) 2024/1689 du 13 juin 2024, dit « AI Act », classe les systèmes d'IA utilisés dans l'administration de la justice parmi les systèmes à « haut risque » (annexe III, point 8)[^10]. L'application complète est prévue le 2 août 2026.</w:t>
      </w:r>
    </w:p>
    <w:p>
      <w:r>
        <w:t>Pour nous, praticiens du dommage corporel, cela signifie concrètement :</w:t>
      </w:r>
    </w:p>
    <w:p>
      <w:pPr>
        <w:pStyle w:val="ListBullet"/>
      </w:pPr>
      <w:r>
        <w:t>Les fournisseurs d'outils jurimétriques devront assurer une transparence algorithmique — une évolution que j'appelle de mes vœux depuis longtemps ;</w:t>
      </w:r>
    </w:p>
    <w:p>
      <w:pPr>
        <w:pStyle w:val="ListBullet"/>
      </w:pPr>
      <w:r>
        <w:t>Le principe du « human-in-the-loop » sera juridiquement contraignant : toute décision assistée par l'IA devra faire l'objet d'une supervision humaine effective ;</w:t>
      </w:r>
    </w:p>
    <w:p>
      <w:pPr>
        <w:pStyle w:val="ListBullet"/>
      </w:pPr>
      <w:r>
        <w:t>Les obligations de journalisation et de traçabilité rejoignent exactement ce que nous pratiquons déjà dans notre cabinet.</w:t>
      </w:r>
    </w:p>
    <w:p>
      <w:r>
        <w:t>Le AI Act ne freinera pas l'usage de l'IA en droit du dommage corporel. Il l'encadrera. Et c'est une bonne nouvelle pour les victimes comme pour les praticiens.</w:t>
      </w:r>
    </w:p>
    <w:p>
      <w:pPr>
        <w:pStyle w:val="Heading2"/>
      </w:pPr>
      <w:r>
        <w:t>Conclusion</w:t>
      </w:r>
    </w:p>
    <w:p>
      <w:r>
        <w:t>L'échec de DataJust ne marque pas la fin de l'IA en dommage corporel. Il marque la fin d'une illusion : celle d'un algorithme qui remplacerait le praticien. La réalité est à la fois plus modeste et plus prometteuse.</w:t>
      </w:r>
    </w:p>
    <w:p>
      <w:r>
        <w:t>Depuis que j'ai intégré les outils de jurimétrie, les architectures MCP et les Skills juridiques dans ma pratique, je constate un changement tangible : mes dossiers sont mieux documentés, mes demandes mieux étayées, et les négociations avec les assureurs se déroulent sur un terrain plus équitable. Ce n'est pas l'IA qui plaide — c'est moi. Mais c'est l'IA qui me permet de plaider mieux.</w:t>
      </w:r>
    </w:p>
    <w:p>
      <w:r>
        <w:t>Le véritable enjeu, désormais, est la formation. Trop peu d'avocats maîtrisent ces outils. Trop peu de victimes bénéficient de cette « expertise augmentée ». J'y vois une responsabilité collective pour notre profession : se former à l'IA, non pas pour suivre une mode, mais parce que l'égalité des armes l'exige.</w:t>
      </w:r>
    </w:p>
    <w:p>
      <w:r>
        <w:t>Le principe d'égalité des armes, si longtemps un vœu pieux en dommage corporel, est en train de devenir une réalité opérationnelle. C'est, à mes yeux, l'apport le plus fondamental de l'intelligence artificielle au droit des victimes.</w:t>
      </w:r>
    </w:p>
    <w:p>
      <w:pPr>
        <w:pStyle w:val="Heading3"/>
      </w:pPr>
      <w:r>
        <w:t>Notes et références</w:t>
      </w:r>
    </w:p>
    <w:p>
      <w:r>
        <w:rPr>
          <w:b/>
          <w:sz w:val="18"/>
        </w:rPr>
        <w:t xml:space="preserve">[1] </w:t>
      </w:r>
      <w:r>
        <w:t xml:space="preserve">Décret n° 2020-356 du 27 mars 2020 portant création du traitement « DataJust » — </w:t>
      </w:r>
      <w:hyperlink r:id="rId9">
        <w:r>
          <w:rPr>
            <w:color w:val="0563C1"/>
            <w:u w:val="single"/>
          </w:rPr>
          <w:t>Légifrance</w:t>
        </w:r>
      </w:hyperlink>
    </w:p>
    <w:p>
      <w:r>
        <w:rPr>
          <w:b/>
          <w:sz w:val="18"/>
        </w:rPr>
        <w:t xml:space="preserve">[2] </w:t>
      </w:r>
      <w:r>
        <w:t xml:space="preserve">CE, 30 décembre 2021, n° 449081 — M. Lahana, « DataJust ou l'algorithmisation du dommage corporel », </w:t>
      </w:r>
      <w:r>
        <w:rPr>
          <w:i/>
        </w:rPr>
        <w:t>Village de la Justice</w:t>
      </w:r>
      <w:r>
        <w:t>, 2023</w:t>
      </w:r>
    </w:p>
    <w:p>
      <w:r>
        <w:rPr>
          <w:b/>
          <w:sz w:val="18"/>
        </w:rPr>
        <w:t xml:space="preserve">[3] </w:t>
      </w:r>
      <w:r>
        <w:t xml:space="preserve">CNB, Rapport du groupe de travail Legaltech, </w:t>
      </w:r>
      <w:r>
        <w:rPr>
          <w:i/>
        </w:rPr>
        <w:t>Préconisations d'actions pour les legaltechs du domaine de la jurimétrie</w:t>
      </w:r>
      <w:r>
        <w:t xml:space="preserve">, assemblée générale du 9 octobre 2020 — </w:t>
      </w:r>
      <w:hyperlink r:id="rId10">
        <w:r>
          <w:rPr>
            <w:color w:val="0563C1"/>
            <w:u w:val="single"/>
          </w:rPr>
          <w:t>cnb.avocat.fr</w:t>
        </w:r>
      </w:hyperlink>
    </w:p>
    <w:p>
      <w:r>
        <w:rPr>
          <w:b/>
          <w:sz w:val="18"/>
        </w:rPr>
        <w:t xml:space="preserve">[4] </w:t>
      </w:r>
      <w:r>
        <w:t xml:space="preserve">Sopra Steria Next, </w:t>
      </w:r>
      <w:r>
        <w:rPr>
          <w:i/>
        </w:rPr>
        <w:t>Étude comparative des technologies de jurimétrie</w:t>
      </w:r>
      <w:r>
        <w:t>, commandée par le CNB, 2020</w:t>
      </w:r>
    </w:p>
    <w:p>
      <w:r>
        <w:rPr>
          <w:b/>
          <w:sz w:val="18"/>
        </w:rPr>
        <w:t xml:space="preserve">[5] </w:t>
      </w:r>
      <w:r>
        <w:t xml:space="preserve">CEDH, </w:t>
      </w:r>
      <w:r>
        <w:rPr>
          <w:i/>
        </w:rPr>
        <w:t>Dombo Beheer B.V. c. Pays-Bas</w:t>
      </w:r>
      <w:r>
        <w:t>, 27 octobre 1993, n° 14448/88</w:t>
      </w:r>
    </w:p>
    <w:p>
      <w:r>
        <w:rPr>
          <w:b/>
          <w:sz w:val="18"/>
        </w:rPr>
        <w:t xml:space="preserve">[6] </w:t>
      </w:r>
      <w:r>
        <w:t xml:space="preserve">Référentiel indicatif de l'indemnisation du préjudice corporel des cours d'appel, 7e version, juin 2024, coordonné par B. Mornet, conseiller à la Cour de cassation — </w:t>
      </w:r>
      <w:hyperlink r:id="rId11">
        <w:r>
          <w:rPr>
            <w:color w:val="0563C1"/>
            <w:u w:val="single"/>
          </w:rPr>
          <w:t>Barreau de Paris (PDF)</w:t>
        </w:r>
      </w:hyperlink>
    </w:p>
    <w:p>
      <w:r>
        <w:rPr>
          <w:b/>
          <w:sz w:val="18"/>
        </w:rPr>
        <w:t xml:space="preserve">[7] </w:t>
      </w:r>
      <w:r>
        <w:t xml:space="preserve">Cass. ass. plén., 27 juin 2025, n° 22-21.812 (perte de chance et réparation intégrale) — </w:t>
      </w:r>
      <w:hyperlink r:id="rId12">
        <w:r>
          <w:rPr>
            <w:color w:val="0563C1"/>
            <w:u w:val="single"/>
          </w:rPr>
          <w:t>Légifrance</w:t>
        </w:r>
      </w:hyperlink>
    </w:p>
    <w:p>
      <w:r>
        <w:rPr>
          <w:b/>
          <w:sz w:val="18"/>
        </w:rPr>
        <w:t xml:space="preserve">[8] </w:t>
      </w:r>
      <w:r>
        <w:t>Cass. 2e civ., 28 mai 2009, n° 08-16.829 ; Cass. 2e civ., 25 avril 2024, n° 22-17.229 (non-cumul des préjudices Dintilhac) ; Cass. 2e civ., 30 mai 2024, n° 22-22.814 (actualisation / dépréciation monétaire) ; Cass. 2e civ., 10 octobre 2024, n° 23-13.932 (PGPF et réparation intégrale)</w:t>
      </w:r>
    </w:p>
    <w:p>
      <w:r>
        <w:rPr>
          <w:b/>
          <w:sz w:val="18"/>
        </w:rPr>
        <w:t xml:space="preserve">[9] </w:t>
      </w:r>
      <w:r>
        <w:t>Cass. 2e civ., 7 novembre 2024, n° 23-12.369 (autorité de la chose jugée vs réparation intégrale)</w:t>
      </w:r>
    </w:p>
    <w:p>
      <w:r>
        <w:rPr>
          <w:b/>
          <w:sz w:val="18"/>
        </w:rPr>
        <w:t xml:space="preserve">[10] </w:t>
      </w:r>
      <w:r>
        <w:t xml:space="preserve">Règlement (UE) 2024/1689 du 13 juin 2024, dit « AI Act », art. 6 et annexe III — </w:t>
      </w:r>
      <w:hyperlink r:id="rId13">
        <w:r>
          <w:rPr>
            <w:color w:val="0563C1"/>
            <w:u w:val="single"/>
          </w:rPr>
          <w:t>EUR-Lex</w:t>
        </w:r>
      </w:hyperlink>
      <w:r>
        <w:t xml:space="preserve"> ; CNIL, </w:t>
      </w:r>
      <w:hyperlink r:id="rId14">
        <w:r>
          <w:rPr>
            <w:color w:val="0563C1"/>
            <w:u w:val="single"/>
          </w:rPr>
          <w:t>Questions-réponses sur le AI Act</w:t>
        </w:r>
      </w:hyperlink>
    </w:p>
    <w:p>
      <w:r>
        <w:rPr>
          <w:b/>
        </w:rPr>
        <w:t>Ouvrages et articles cités :</w:t>
      </w:r>
    </w:p>
    <w:p>
      <w:pPr>
        <w:pStyle w:val="ListBullet"/>
      </w:pPr>
      <w:r>
        <w:t xml:space="preserve">Y. Lambert-Faivre et S. Porchy-Simon, </w:t>
      </w:r>
      <w:r>
        <w:rPr>
          <w:i/>
        </w:rPr>
        <w:t>Droit du dommage corporel — Systèmes d'indemnisation</w:t>
      </w:r>
      <w:r>
        <w:t>, Dalloz, coll. Précis, 8e éd., 2022</w:t>
      </w:r>
    </w:p>
    <w:p>
      <w:pPr>
        <w:pStyle w:val="ListBullet"/>
      </w:pPr>
      <w:r>
        <w:t xml:space="preserve">G. Viney, P. Jourdain et S. Carval, </w:t>
      </w:r>
      <w:r>
        <w:rPr>
          <w:i/>
        </w:rPr>
        <w:t>Traité de droit civil — Les conditions de la responsabilité</w:t>
      </w:r>
      <w:r>
        <w:t>, LGDJ, 4e éd., 2013</w:t>
      </w:r>
    </w:p>
    <w:p>
      <w:pPr>
        <w:pStyle w:val="ListBullet"/>
      </w:pPr>
      <w:r>
        <w:t xml:space="preserve">P. Le Tourneau (dir.), </w:t>
      </w:r>
      <w:r>
        <w:rPr>
          <w:i/>
        </w:rPr>
        <w:t>Droit de la responsabilité et des contrats</w:t>
      </w:r>
      <w:r>
        <w:t>, Dalloz Action, 2024-2025</w:t>
      </w:r>
    </w:p>
    <w:p>
      <w:pPr>
        <w:pStyle w:val="ListBullet"/>
      </w:pPr>
      <w:r>
        <w:t xml:space="preserve">A. Dumery, « La capacité du droit de la responsabilité civile à indemniser les dommages causés par l'IA », </w:t>
      </w:r>
      <w:r>
        <w:rPr>
          <w:i/>
        </w:rPr>
        <w:t>Revue économique</w:t>
      </w:r>
      <w:r>
        <w:t>, 2025, vol. 76, p. 63-85</w:t>
      </w:r>
    </w:p>
    <w:p>
      <w:pPr>
        <w:pStyle w:val="ListBullet"/>
      </w:pPr>
      <w:r>
        <w:t xml:space="preserve">M. Lahana, « DataJust ou l'algorithmisation du dommage corporel : retour sur la décision du Conseil d'État », </w:t>
      </w:r>
      <w:r>
        <w:rPr>
          <w:i/>
        </w:rPr>
        <w:t>Village de la Justice</w:t>
      </w:r>
      <w:r>
        <w:t>, 2023</w:t>
      </w:r>
    </w:p>
    <w:p>
      <w:pPr>
        <w:pStyle w:val="ListBullet"/>
      </w:pPr>
      <w:r>
        <w:t xml:space="preserve">L. Loevinger, « Jurimetrics: The Next Step Forward », </w:t>
      </w:r>
      <w:r>
        <w:rPr>
          <w:i/>
        </w:rPr>
        <w:t>Minnesota Law Review</w:t>
      </w:r>
      <w:r>
        <w:t>, 1949, vol. 33, p. 455</w:t>
      </w:r>
    </w:p>
    <w:p>
      <w:pPr>
        <w:pStyle w:val="ListBullet"/>
      </w:pPr>
      <w:r>
        <w:t xml:space="preserve">C. Quézel-Ambrunaz et V. Rivollier (dir.), </w:t>
      </w:r>
      <w:r>
        <w:rPr>
          <w:i/>
        </w:rPr>
        <w:t>Jurimétrie — Revue de la mesure des phénomènes juridiques</w:t>
      </w:r>
      <w:r>
        <w:t>, Presses universitaires Savoie Mont Blanc, 2022, 234 p.</w:t>
      </w:r>
    </w:p>
    <w:p>
      <w:pPr>
        <w:pStyle w:val="ListBullet"/>
      </w:pPr>
      <w:r>
        <w:t xml:space="preserve">C. Quézel-Ambrunaz (dir.), </w:t>
      </w:r>
      <w:r>
        <w:rPr>
          <w:i/>
        </w:rPr>
        <w:t>Demandes, offres, décisions en matière de dommage corporel : étude statistique</w:t>
      </w:r>
      <w:r>
        <w:t>, USMB, Centre de recherche en droit Antoine Favre, 2021, 199 p.</w:t>
      </w:r>
    </w:p>
    <w:p>
      <w:pPr>
        <w:pStyle w:val="ListBullet"/>
      </w:pPr>
      <w:r>
        <w:t xml:space="preserve">C. Quézel-Ambrunaz et V. Rivollier, « Pour une étude raisonnée de la jurimétrie » et « À la recherche d'une définition de la jurimétrie », in </w:t>
      </w:r>
      <w:r>
        <w:rPr>
          <w:i/>
        </w:rPr>
        <w:t>Jurimétrie</w:t>
      </w:r>
      <w:r>
        <w:t>, PUSMB, 2022</w:t>
      </w:r>
    </w:p>
    <w:p>
      <w:pPr>
        <w:pStyle w:val="ListBullet"/>
      </w:pPr>
      <w:r>
        <w:t xml:space="preserve">C. Quézel-Ambrunaz, « L'indemnisation du Déficit Fonctionnel Temporaire au prisme de la jurimétrie », </w:t>
      </w:r>
      <w:r>
        <w:rPr>
          <w:i/>
        </w:rPr>
        <w:t>Lexbase Droit privé</w:t>
      </w:r>
      <w:r>
        <w:t>, 2022</w:t>
      </w:r>
    </w:p>
    <w:p>
      <w:pPr>
        <w:pStyle w:val="ListBullet"/>
      </w:pPr>
      <w:r>
        <w:t xml:space="preserve">C. Quézel-Ambrunaz, « L'indemnisation des Souffrances endurées au prisme de la jurimétrie », </w:t>
      </w:r>
      <w:r>
        <w:rPr>
          <w:i/>
        </w:rPr>
        <w:t>Lexbase Droit privé</w:t>
      </w:r>
      <w:r>
        <w:t>, 2022</w:t>
      </w:r>
    </w:p>
    <w:p>
      <w:pPr>
        <w:pStyle w:val="ListBullet"/>
      </w:pPr>
      <w:r>
        <w:t xml:space="preserve">C. Quézel-Ambrunaz, « L'indemnisation du préjudice d'affection au prisme de la jurimétrie », </w:t>
      </w:r>
      <w:r>
        <w:rPr>
          <w:i/>
        </w:rPr>
        <w:t>Lexbase Droit privé</w:t>
      </w:r>
      <w:r>
        <w:t>, 2022</w:t>
      </w:r>
    </w:p>
    <w:p>
      <w:r>
        <w:rPr>
          <w:b/>
        </w:rPr>
        <w:t>Textes législatifs et réglementaires :</w:t>
      </w:r>
    </w:p>
    <w:p>
      <w:pPr>
        <w:pStyle w:val="ListBullet"/>
      </w:pPr>
      <w:r>
        <w:t>Art. 1240 du Code civil (principe de réparation intégrale)</w:t>
      </w:r>
    </w:p>
    <w:p>
      <w:pPr>
        <w:pStyle w:val="ListBullet"/>
      </w:pPr>
      <w:r>
        <w:t>Art. L. 211-9 du Code des assurances (offre d'indemnisation)</w:t>
      </w:r>
    </w:p>
    <w:p>
      <w:pPr>
        <w:pStyle w:val="ListBullet"/>
      </w:pPr>
      <w:r>
        <w:t>Art. L. 111-13 du Code de l'organisation judiciaire (loi n° 2019-222 du 23 mars 2019)</w:t>
      </w:r>
    </w:p>
    <w:p>
      <w:pPr>
        <w:pStyle w:val="ListBullet"/>
      </w:pPr>
      <w:r>
        <w:t>Art. 66-5 de la loi n° 71-1130 du 31 décembre 1971 (secret professionnel de l'avocat)</w:t>
      </w:r>
    </w:p>
    <w:p>
      <w:pPr>
        <w:pStyle w:val="ListBullet"/>
      </w:pPr>
      <w:r>
        <w:t>Art. 9 du RGPD (catégories particulières de données)</w:t>
      </w:r>
    </w:p>
    <w:p>
      <w:pPr>
        <w:pStyle w:val="ListBullet"/>
      </w:pPr>
      <w:r>
        <w:t>Résolution 75-7 du Comité des ministres du Conseil de l'Europe (principe de réparation intégrale)</w:t>
      </w:r>
    </w:p>
    <w:p>
      <w:pPr>
        <w:pStyle w:val="ListBullet"/>
      </w:pPr>
      <w:r>
        <w:t>Règlement intérieur national de la profession d'avocat (RIN), art. 2 et 4</w:t>
      </w:r>
    </w:p>
    <w:p>
      <w:r>
        <w:rPr>
          <w:b/>
        </w:rPr>
        <w:t>Autres sources :</w:t>
      </w:r>
    </w:p>
    <w:p>
      <w:pPr>
        <w:pStyle w:val="ListBullet"/>
      </w:pPr>
      <w:r>
        <w:t xml:space="preserve">Themia, « Jurimétrie en 2025 : Guide Pratique pour Cabinets d'Avocats » — </w:t>
      </w:r>
      <w:hyperlink r:id="rId15">
        <w:r>
          <w:rPr>
            <w:color w:val="0563C1"/>
            <w:u w:val="single"/>
          </w:rPr>
          <w:t>themia.pro</w:t>
        </w:r>
      </w:hyperlink>
    </w:p>
    <w:p>
      <w:pPr>
        <w:pStyle w:val="ListBullet"/>
      </w:pPr>
      <w:r>
        <w:rPr>
          <w:i/>
        </w:rPr>
        <w:t>Acteurs Publics</w:t>
      </w:r>
      <w:r>
        <w:t xml:space="preserve">, « Le ministère de la Justice renonce à son algorithme DataJust », 13 janvier 2022 — </w:t>
      </w:r>
      <w:hyperlink r:id="rId16">
        <w:r>
          <w:rPr>
            <w:color w:val="0563C1"/>
            <w:u w:val="single"/>
          </w:rPr>
          <w:t>acteurspublics.fr</w:t>
        </w:r>
      </w:hyperlink>
    </w:p>
    <w:p>
      <w:pPr>
        <w:pStyle w:val="ListBullet"/>
      </w:pPr>
      <w:r>
        <w:t xml:space="preserve">CNIL, « Questions-réponses sur le AI Act » — </w:t>
      </w:r>
      <w:hyperlink r:id="rId14">
        <w:r>
          <w:rPr>
            <w:color w:val="0563C1"/>
            <w:u w:val="single"/>
          </w:rPr>
          <w:t>cnil.fr</w:t>
        </w:r>
      </w:hyperlink>
    </w:p>
    <w:p>
      <w:pPr>
        <w:jc w:val="center"/>
      </w:pPr>
      <w:r>
        <w:rPr>
          <w:i/>
          <w:sz w:val="20"/>
        </w:rPr>
        <w:t>Me Patrice Humbert est avocat au Barreau d'Aix-en-Provence, spécialisé en dommage corporel (spécialisation CNB). Fort de plus de 20 ans d'expérience exclusive dans la défense des victimes, il est le premier avocat en France à avoir obtenu une certification en intelligence artificielle. Créateur d'outils d'IA dédiés aux victimes et formateur en juridico-prompt engineering, il exerce au sein de la SELARL LEXVOX AVOCATS, avec des bureaux à Aix-en-Provence, Salon-de-Provence, Arles et Marignane. Contact : contact@avocat-lexvox.com — 04 90 54 58 10 — lexvox-victime.com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egifrance.gouv.fr/jorf/id/JORFTEXT000041763205" TargetMode="External"/><Relationship Id="rId10" Type="http://schemas.openxmlformats.org/officeDocument/2006/relationships/hyperlink" Target="https://www.cnb.avocat.fr/fr/actualites/preconisations-dactions-pour-les-legaltechs-du-domaine-de-la-jurimetrie" TargetMode="External"/><Relationship Id="rId11" Type="http://schemas.openxmlformats.org/officeDocument/2006/relationships/hyperlink" Target="https://www.avocatparis.org/sites/bdp/files/2024-10/R%C3%A9f%C3%A9rentiel%20indicatif%20de%20l'indemnisation%20du%20pr%C3%A9judice%20corporel%20des%20CA%20-%20septembre%202024.pdf" TargetMode="External"/><Relationship Id="rId12" Type="http://schemas.openxmlformats.org/officeDocument/2006/relationships/hyperlink" Target="https://www.legifrance.gouv.fr/juri/id/JURITEXT000051824029" TargetMode="External"/><Relationship Id="rId13" Type="http://schemas.openxmlformats.org/officeDocument/2006/relationships/hyperlink" Target="https://eur-lex.europa.eu/eli/reg/2024/1689/oj?locale=fr" TargetMode="External"/><Relationship Id="rId14" Type="http://schemas.openxmlformats.org/officeDocument/2006/relationships/hyperlink" Target="https://www.cnil.fr/fr/entree-en-vigueur-du-reglement-europeen-sur-lia-les-premieres-questions-reponses-de-la-cnil" TargetMode="External"/><Relationship Id="rId15" Type="http://schemas.openxmlformats.org/officeDocument/2006/relationships/hyperlink" Target="https://themia.pro/blog/c-est-quoi-la-jurimetrie" TargetMode="External"/><Relationship Id="rId16" Type="http://schemas.openxmlformats.org/officeDocument/2006/relationships/hyperlink" Target="https://acteurspublics.fr/articles/exclusif-le-ministere-de-la-justice-renonce-a-son-algorithme-dataj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