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6312B5">
          <w:rPr>
            <w:b/>
            <w:i/>
            <w:color w:val="FF0000"/>
            <w:u w:val="single" w:color="0000EE"/>
          </w:rPr>
          <w:t>LeLivros.link</w:t>
        </w:r>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6312B5">
        <w:rPr>
          <w:i/>
          <w:color w:val="FF0000"/>
        </w:rPr>
        <w:t>shillings</w:t>
      </w:r>
      <w:r w:rsidRPr="006312B5">
        <w:rPr>
          <w:color w:val="FF000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deixara de ser mencionado pelo </w:t>
      </w:r>
      <w:r w:rsidRPr="006312B5">
        <w:rPr>
          <w:i/>
          <w:color w:val="FF0000"/>
        </w:rPr>
        <w:t>The Times</w:t>
      </w:r>
      <w:r w:rsidRPr="006312B5">
        <w:rPr>
          <w:color w:val="FF000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The Monthly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Em seus primeiros anos, ele escreveu à sua mulher Alys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The Monthly Criterion</w:t>
      </w:r>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Kors, </w:t>
      </w:r>
      <w:r w:rsidRPr="006312B5">
        <w:rPr>
          <w:i/>
          <w:color w:val="FF0000"/>
          <w:sz w:val="18"/>
        </w:rPr>
        <w:t>Atheism in France</w:t>
      </w:r>
      <w:r w:rsidRPr="006312B5">
        <w:rPr>
          <w:color w:val="FF0000"/>
          <w:sz w:val="18"/>
        </w:rPr>
        <w:t>, 1650-1729, Princeton, NJ (EUA): Princeton University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“My Mental Development”, em </w:t>
      </w:r>
      <w:r w:rsidRPr="006312B5">
        <w:rPr>
          <w:i/>
          <w:color w:val="FF0000"/>
          <w:sz w:val="18"/>
        </w:rPr>
        <w:t>The Philosophy of Bertrand</w:t>
      </w:r>
      <w:r w:rsidRPr="006312B5">
        <w:rPr>
          <w:color w:val="FF0000"/>
          <w:sz w:val="18"/>
        </w:rPr>
        <w:t xml:space="preserve"> </w:t>
      </w:r>
      <w:r w:rsidRPr="006312B5">
        <w:rPr>
          <w:i/>
          <w:color w:val="FF0000"/>
          <w:sz w:val="18"/>
        </w:rPr>
        <w:t>Russell</w:t>
      </w:r>
      <w:r w:rsidRPr="006312B5">
        <w:rPr>
          <w:color w:val="FF0000"/>
          <w:sz w:val="18"/>
        </w:rPr>
        <w:t>, editado por Paul Schilpp, Londres: Cambridge University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“Why I Took to Philosophy”, em </w:t>
      </w:r>
      <w:r w:rsidRPr="006312B5">
        <w:rPr>
          <w:i/>
          <w:color w:val="FF0000"/>
          <w:sz w:val="18"/>
        </w:rPr>
        <w:t>Portraits from Memory and other Essays</w:t>
      </w:r>
      <w:r w:rsidRPr="006312B5">
        <w:rPr>
          <w:color w:val="FF0000"/>
          <w:sz w:val="18"/>
        </w:rPr>
        <w:t>. Londres: Allen &amp; Unwin,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Tait, </w:t>
      </w:r>
      <w:r w:rsidRPr="006312B5">
        <w:rPr>
          <w:i/>
          <w:color w:val="FF0000"/>
          <w:sz w:val="18"/>
        </w:rPr>
        <w:t>My Father Bertrand</w:t>
      </w:r>
      <w:r w:rsidRPr="006312B5">
        <w:rPr>
          <w:color w:val="FF0000"/>
          <w:sz w:val="18"/>
        </w:rPr>
        <w:t xml:space="preserve"> </w:t>
      </w:r>
      <w:r w:rsidRPr="006312B5">
        <w:rPr>
          <w:i/>
          <w:color w:val="FF0000"/>
          <w:sz w:val="18"/>
        </w:rPr>
        <w:t>Russell</w:t>
      </w:r>
      <w:r w:rsidRPr="006312B5">
        <w:rPr>
          <w:color w:val="FF0000"/>
          <w:sz w:val="18"/>
        </w:rPr>
        <w:t>, Londres: Harcourt Brace,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Blackwell, </w:t>
      </w:r>
      <w:r w:rsidRPr="006312B5">
        <w:rPr>
          <w:i/>
          <w:color w:val="FF0000"/>
          <w:sz w:val="18"/>
        </w:rPr>
        <w:t>The Spinozitic Ethics of Bertrand</w:t>
      </w:r>
      <w:r w:rsidRPr="006312B5">
        <w:rPr>
          <w:color w:val="FF0000"/>
          <w:sz w:val="18"/>
        </w:rPr>
        <w:t xml:space="preserve"> </w:t>
      </w:r>
      <w:r w:rsidRPr="006312B5">
        <w:rPr>
          <w:i/>
          <w:color w:val="FF0000"/>
          <w:sz w:val="18"/>
        </w:rPr>
        <w:t>Russell</w:t>
      </w:r>
      <w:r w:rsidRPr="006312B5">
        <w:rPr>
          <w:color w:val="FF0000"/>
          <w:sz w:val="18"/>
        </w:rPr>
        <w:t>, Londres: Allen &amp; Unwin,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r w:rsidRPr="006312B5">
        <w:rPr>
          <w:i/>
          <w:color w:val="FF0000"/>
          <w:sz w:val="18"/>
        </w:rPr>
        <w:t>Lectures and Conversations on Aesthetics, Psychology and Religious Belief</w:t>
      </w:r>
      <w:r w:rsidRPr="006312B5">
        <w:rPr>
          <w:color w:val="FF0000"/>
          <w:sz w:val="18"/>
        </w:rPr>
        <w:t>, editado por Cyril Batterr, Oxford: Blackwell, 1966.</w:t>
      </w:r>
    </w:p>
    <w:p w:rsidR="003423F3" w:rsidRPr="006312B5" w:rsidRDefault="005F26E7">
      <w:pPr>
        <w:numPr>
          <w:ilvl w:val="0"/>
          <w:numId w:val="1"/>
        </w:numPr>
        <w:spacing w:after="0" w:line="268" w:lineRule="auto"/>
        <w:ind w:right="8" w:hanging="210"/>
        <w:rPr>
          <w:color w:val="FF0000"/>
        </w:rPr>
      </w:pPr>
      <w:r w:rsidRPr="006312B5">
        <w:rPr>
          <w:color w:val="FF0000"/>
          <w:sz w:val="18"/>
        </w:rPr>
        <w:t>Ou talvez isso fosse o que ele tentava fazer. Virginia Woolf, por exemplo, com frequência caçoava das posturas anglocatólicas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and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Routledge and Kegan Paul, que publicaram </w:t>
      </w:r>
      <w:r w:rsidRPr="006312B5">
        <w:rPr>
          <w:i/>
          <w:color w:val="FF0000"/>
        </w:rPr>
        <w:t>Sobreviveremos à morte?</w:t>
      </w:r>
      <w:r w:rsidRPr="006312B5">
        <w:rPr>
          <w:color w:val="FF0000"/>
        </w:rPr>
        <w:t xml:space="preserve">; Nicholson and Watson, editores originais de </w:t>
      </w:r>
      <w:r w:rsidRPr="006312B5">
        <w:rPr>
          <w:i/>
          <w:color w:val="FF0000"/>
        </w:rPr>
        <w:t>O destino de Thomas</w:t>
      </w:r>
      <w:r w:rsidRPr="006312B5">
        <w:rPr>
          <w:color w:val="FF0000"/>
        </w:rPr>
        <w:t xml:space="preserve"> </w:t>
      </w:r>
      <w:r w:rsidRPr="006312B5">
        <w:rPr>
          <w:i/>
          <w:color w:val="FF0000"/>
        </w:rPr>
        <w:t>Paine</w:t>
      </w:r>
      <w:r w:rsidRPr="006312B5">
        <w:rPr>
          <w:color w:val="FF0000"/>
        </w:rPr>
        <w:t xml:space="preserve">; e </w:t>
      </w:r>
      <w:r w:rsidRPr="006312B5">
        <w:rPr>
          <w:i/>
          <w:color w:val="FF0000"/>
        </w:rPr>
        <w:t>American Mercury</w:t>
      </w:r>
      <w:r w:rsidRPr="006312B5">
        <w:rPr>
          <w:color w:val="FF000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Esta palestra foi proferida no dia 6 de março de 1927, na Prefeitura de Battersea,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6312B5" w:rsidRDefault="005F26E7">
      <w:pPr>
        <w:spacing w:line="259" w:lineRule="auto"/>
        <w:ind w:left="10" w:right="23" w:hanging="10"/>
        <w:jc w:val="center"/>
        <w:rPr>
          <w:color w:val="auto"/>
        </w:rPr>
      </w:pPr>
      <w:r w:rsidRPr="006312B5">
        <w:rPr>
          <w:b/>
          <w:color w:val="auto"/>
          <w:sz w:val="42"/>
        </w:rPr>
        <w:t>O</w:t>
      </w:r>
      <w:r w:rsidRPr="006312B5">
        <w:rPr>
          <w:color w:val="auto"/>
        </w:rPr>
        <w:t xml:space="preserve"> </w:t>
      </w:r>
      <w:r w:rsidRPr="006312B5">
        <w:rPr>
          <w:b/>
          <w:color w:val="auto"/>
          <w:sz w:val="18"/>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6312B5">
        <w:rPr>
          <w:i/>
          <w:color w:val="auto"/>
        </w:rPr>
        <w:t>Whitaker’s Almanack</w:t>
      </w:r>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EXISTÊNCIA DE</w:t>
      </w:r>
      <w:r w:rsidRPr="006312B5">
        <w:rPr>
          <w:b w:val="0"/>
          <w:color w:val="auto"/>
          <w:sz w:val="46"/>
          <w:vertAlign w:val="superscript"/>
        </w:rPr>
        <w:t xml:space="preserve"> </w:t>
      </w:r>
      <w:r w:rsidRPr="006312B5">
        <w:rPr>
          <w:color w:val="auto"/>
          <w:sz w:val="42"/>
        </w:rPr>
        <w:t>D</w:t>
      </w:r>
      <w:r w:rsidRPr="006312B5">
        <w:rPr>
          <w:color w:val="auto"/>
        </w:rPr>
        <w:t>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r w:rsidRPr="009942C9">
        <w:rPr>
          <w:color w:val="auto"/>
          <w:highlight w:val="yellow"/>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 xml:space="preserve">preocupação delas diz respeito a algo muito mais mundano, ou pode tratar-se meramente de má digestão; </w:t>
      </w:r>
      <w:r w:rsidRPr="00393118">
        <w:rPr>
          <w:color w:val="auto"/>
          <w:highlight w:val="yellow"/>
        </w:rPr>
        <w:t>mas ninguém de fato fica seriamente infeliz por pensar que algo de ruim vai acontecer com este mundo daqui a milhões de anos</w:t>
      </w:r>
      <w:r w:rsidRPr="006312B5">
        <w:rPr>
          <w:color w:val="auto"/>
        </w:rPr>
        <w:t>.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w:t>
      </w:r>
      <w:r w:rsidRPr="009A3576">
        <w:rPr>
          <w:color w:val="auto"/>
          <w:highlight w:val="yellow"/>
        </w:rPr>
        <w:t>argumentos morais para a existência de Deus.</w:t>
      </w:r>
      <w:r w:rsidRPr="006312B5">
        <w:rPr>
          <w:color w:val="auto"/>
        </w:rPr>
        <w:t xml:space="preserve">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B82077" w:rsidRDefault="005F26E7">
      <w:pPr>
        <w:spacing w:after="391"/>
        <w:ind w:left="-15" w:right="14"/>
        <w:rPr>
          <w:color w:val="auto"/>
          <w:highlight w:val="yellow"/>
        </w:rPr>
      </w:pPr>
      <w:r w:rsidRPr="006312B5">
        <w:rPr>
          <w:color w:val="auto"/>
        </w:rPr>
        <w:t xml:space="preserve">Kant, como digo, inventou um novo argumento moral em favor da existência de Deus, e tal argumento, sob formas variadas, fez-se extremamente popular durante o século XIX. Ele se apresenta sob todo o tipo de formas. Uma delas é dizer que </w:t>
      </w:r>
      <w:r w:rsidRPr="00B82077">
        <w:rPr>
          <w:color w:val="auto"/>
          <w:highlight w:val="yellow"/>
        </w:rPr>
        <w:t>não haveria certo nem errado a menos que Deus existisse</w:t>
      </w:r>
      <w:r w:rsidRPr="006312B5">
        <w:rPr>
          <w:color w:val="auto"/>
        </w:rPr>
        <w:t xml:space="preserv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w:t>
      </w:r>
      <w:r w:rsidRPr="00B82077">
        <w:rPr>
          <w:color w:val="auto"/>
          <w:highlight w:val="yellow"/>
        </w:rPr>
        <w:t>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B82077">
        <w:rPr>
          <w:color w:val="auto"/>
          <w:highlight w:val="yellow"/>
        </w:rPr>
        <w:t>não ruins, independentemente do simples fato de Ele as ter feito. Para dizer isso, também é preciso dizer que não apenas por meio de Deus é que o certo e o errado passaram a existir, mas que são, em essência, logicamente anteriores a Deus.</w:t>
      </w:r>
      <w:r w:rsidRPr="006312B5">
        <w:rPr>
          <w:color w:val="auto"/>
        </w:rPr>
        <w:t xml:space="preserve"> Seria possível, é claro, se houvesse intenção, dizer que havia uma divindade superior que dava ordens ao Deus que criou este mundo, ou então tomar a linha que alguns dos gnósticos tomaram – uma linha que com frequência considerei bastante plausível –, a de que, </w:t>
      </w:r>
      <w:r w:rsidRPr="00835B7C">
        <w:rPr>
          <w:color w:val="auto"/>
          <w:highlight w:val="green"/>
        </w:rPr>
        <w:t>na verdade, este mundo que conhecemos foi criado pelo demônio, em um momento que Deus não estava olhando.</w:t>
      </w:r>
      <w:r w:rsidRPr="006312B5">
        <w:rPr>
          <w:color w:val="auto"/>
        </w:rPr>
        <w:t xml:space="preserve"> Há muito a se dizer a esse respeito, e não estou interessado em refutá-lo.</w:t>
      </w:r>
    </w:p>
    <w:p w:rsidR="003423F3" w:rsidRPr="006312B5" w:rsidRDefault="005F26E7">
      <w:pPr>
        <w:pStyle w:val="Ttulo1"/>
        <w:numPr>
          <w:ilvl w:val="0"/>
          <w:numId w:val="0"/>
        </w:numPr>
        <w:ind w:right="43"/>
        <w:rPr>
          <w:color w:val="auto"/>
        </w:rPr>
      </w:pPr>
      <w:r w:rsidRPr="006312B5">
        <w:rPr>
          <w:color w:val="auto"/>
          <w:sz w:val="42"/>
        </w:rPr>
        <w:lastRenderedPageBreak/>
        <w:t>O</w:t>
      </w:r>
      <w:r w:rsidRPr="006312B5">
        <w:rPr>
          <w:b w:val="0"/>
          <w:color w:val="auto"/>
          <w:sz w:val="30"/>
        </w:rPr>
        <w:t xml:space="preserve"> </w:t>
      </w:r>
      <w:r w:rsidRPr="006312B5">
        <w:rPr>
          <w:color w:val="auto"/>
        </w:rPr>
        <w:t>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w:t>
      </w:r>
      <w:r w:rsidRPr="00835B7C">
        <w:rPr>
          <w:color w:val="auto"/>
          <w:highlight w:val="yellow"/>
        </w:rPr>
        <w:t>.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w:t>
      </w:r>
      <w:r w:rsidRPr="006312B5">
        <w:rPr>
          <w:color w:val="auto"/>
        </w:rPr>
        <w:t xml:space="preserve">. </w:t>
      </w:r>
      <w:r w:rsidRPr="00B90276">
        <w:rPr>
          <w:color w:val="auto"/>
          <w:highlight w:val="green"/>
        </w:rPr>
        <w:t>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w:t>
      </w:r>
      <w:r w:rsidRPr="006312B5">
        <w:rPr>
          <w:color w:val="auto"/>
        </w:rPr>
        <w:t>.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B90276">
        <w:rPr>
          <w:color w:val="auto"/>
          <w:highlight w:val="yellow"/>
        </w:rPr>
        <w:t>Ademais, penso que a razão mais forte que vem a seguir é o desejo de segurança, uma espécie de sensação de que existe um irmão mais velho a zelar por nós. Isso desempenha um papel profundo na influência do desejo de crer em Deus.</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CARÁTER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ind w:left="-15" w:right="14" w:firstLine="0"/>
        <w:rPr>
          <w:color w:val="auto"/>
        </w:rPr>
      </w:pPr>
      <w:r w:rsidRPr="006312B5">
        <w:rPr>
          <w:color w:val="auto"/>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por exemplo, seja um cristão dos mais sinceros, mas não aconselharia a nenhum dos senhores ir até lá ferir-lhe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 xml:space="preserve">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w:t>
      </w:r>
      <w:r w:rsidRPr="00FB6DFE">
        <w:rPr>
          <w:color w:val="auto"/>
          <w:highlight w:val="yellow"/>
        </w:rPr>
        <w:t>Então Cristo diz: “Dá a quem te pede, e não voltes as costas ao que deseja que lhe emprestes”.</w:t>
      </w:r>
      <w:r w:rsidRPr="006312B5">
        <w:rPr>
          <w:color w:val="auto"/>
        </w:rPr>
        <w:t xml:space="preserve">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w:t>
      </w:r>
      <w:r w:rsidRPr="001A5828">
        <w:rPr>
          <w:color w:val="auto"/>
        </w:rPr>
        <w:t xml:space="preserve">: </w:t>
      </w:r>
      <w:r w:rsidRPr="001A5828">
        <w:rPr>
          <w:color w:val="auto"/>
          <w:highlight w:val="yellow"/>
        </w:rPr>
        <w:t>“Se queres ser perfeito, vai, vende o que tens, e dá-o aos pobres”.</w:t>
      </w:r>
      <w:r w:rsidRPr="006312B5">
        <w:rPr>
          <w:color w:val="auto"/>
        </w:rPr>
        <w:t xml:space="preserve">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6312B5" w:rsidRDefault="005F26E7">
      <w:pPr>
        <w:pStyle w:val="Ttulo1"/>
        <w:numPr>
          <w:ilvl w:val="0"/>
          <w:numId w:val="0"/>
        </w:numPr>
        <w:ind w:right="33"/>
        <w:rPr>
          <w:color w:val="auto"/>
        </w:rPr>
      </w:pPr>
      <w:r w:rsidRPr="006312B5">
        <w:rPr>
          <w:color w:val="auto"/>
          <w:sz w:val="42"/>
        </w:rPr>
        <w:t>D</w:t>
      </w:r>
      <w:r w:rsidRPr="006312B5">
        <w:rPr>
          <w:color w:val="auto"/>
        </w:rPr>
        <w:t>EFEITOS NOS ENSINAMENTOS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w:t>
      </w:r>
      <w:r w:rsidRPr="001A5828">
        <w:rPr>
          <w:color w:val="auto"/>
          <w:highlight w:val="yellow"/>
        </w:rPr>
        <w:t>Conheci um vigário que assustou terrivelmente sua congregação ao dizer que a segunda vinda de fato estava muito iminente, mas os fiéis se tranquilizaram bastante quando descobriram que ele plantava árvores em seu jardim.</w:t>
      </w:r>
      <w:r w:rsidRPr="006312B5">
        <w:rPr>
          <w:color w:val="auto"/>
        </w:rPr>
        <w:t xml:space="preserve">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PROBLEMA MORAL</w:t>
      </w:r>
    </w:p>
    <w:p w:rsidR="003423F3" w:rsidRPr="006312B5" w:rsidRDefault="005F26E7">
      <w:pPr>
        <w:ind w:left="-15" w:right="14" w:firstLine="0"/>
        <w:rPr>
          <w:color w:val="auto"/>
        </w:rPr>
      </w:pPr>
      <w:r w:rsidRPr="006312B5">
        <w:rPr>
          <w:color w:val="auto"/>
        </w:rPr>
        <w:t xml:space="preserve">Chega-se, então, às questões morais. </w:t>
      </w:r>
      <w:r w:rsidRPr="004C6677">
        <w:rPr>
          <w:color w:val="auto"/>
          <w:highlight w:val="yellow"/>
        </w:rPr>
        <w:t>Em minha concepção, há um defeito muito sério em relação ao caráter moral de Cristo: o fato de ele acreditar no inferno.</w:t>
      </w:r>
      <w:r w:rsidRPr="006312B5">
        <w:rPr>
          <w:color w:val="auto"/>
        </w:rPr>
        <w:t xml:space="preserve">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4C6677">
        <w:rPr>
          <w:color w:val="auto"/>
          <w:highlight w:val="yellow"/>
        </w:rPr>
        <w:t>Descobrir-se-á, nos Evangelhos, que Cristo disse: “Serpentes, raça de víboras! Como escapareis da condenação ao inferno?”. Isso era dito às pessoas que não gostavam de sua pregação.</w:t>
      </w:r>
      <w:r w:rsidRPr="006312B5">
        <w:rPr>
          <w:color w:val="auto"/>
        </w:rPr>
        <w:t xml:space="preserve"> A meu ver, esse não é exatamente o melhor tom, e há um grande número de tais coisas a respeito do inferno. </w:t>
      </w:r>
      <w:r w:rsidRPr="00901F29">
        <w:rPr>
          <w:color w:val="auto"/>
          <w:highlight w:val="yellow"/>
        </w:rPr>
        <w:t>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901F29">
        <w:rPr>
          <w:color w:val="auto"/>
          <w:highlight w:val="green"/>
        </w:rPr>
        <w:t>Então Cristo diz: “O Filho do Homem enviará os seus anjos, e eles tirarão do seu reino todos os escândalos e os que praticam a iniquidade, e lançá-los-ão na fornalha de fogo. Ali haverá choro e ranger de dentes”.</w:t>
      </w:r>
      <w:r w:rsidRPr="006312B5">
        <w:rPr>
          <w:color w:val="auto"/>
        </w:rPr>
        <w:t xml:space="preserve"> E então Ele prossegue a respeito do choro e do ranger de dentes. Isso aparece em versículo após versículo, </w:t>
      </w:r>
      <w:r w:rsidRPr="00901F29">
        <w:rPr>
          <w:color w:val="auto"/>
          <w:highlight w:val="yellow"/>
        </w:rPr>
        <w:t>e fica bem manifesto para o leitor que há um certo prazer na contemplação do choro e do ranger de dentes; do contrário, isso não ocorreria com tanta frequência.</w:t>
      </w:r>
      <w:r w:rsidRPr="006312B5">
        <w:rPr>
          <w:color w:val="auto"/>
        </w:rPr>
        <w:t xml:space="preserve">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w:t>
      </w:r>
      <w:r w:rsidRPr="00901F29">
        <w:rPr>
          <w:color w:val="auto"/>
          <w:highlight w:val="yellow"/>
        </w:rPr>
        <w:t>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 xml:space="preserve">Há outras coisas de menor importância. Há, por exemplo, a passagem do porco geraseno, na qual sem dúvida não foi nada simpático com os porcos colocar os demônios dentro deles e fazer com que disparassem colina abaixo até o mar. </w:t>
      </w:r>
      <w:r w:rsidRPr="00BF5A98">
        <w:rPr>
          <w:color w:val="auto"/>
          <w:highlight w:val="yellow"/>
        </w:rPr>
        <w:t>É necessário lembrar que Ele era onipotente e que poderia ter feito simplesmente com que os demônios fossem embora; mas escolheu enviá-los aos porcos.</w:t>
      </w:r>
      <w:r w:rsidRPr="006312B5">
        <w:rPr>
          <w:color w:val="auto"/>
        </w:rPr>
        <w:t xml:space="preserve">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w:t>
      </w:r>
      <w:r w:rsidRPr="00BF5A98">
        <w:rPr>
          <w:color w:val="auto"/>
          <w:highlight w:val="yellow"/>
        </w:rPr>
        <w:t>.” Essa é uma história muito curiosa, porque não era aquela a estação dos figos, de modo que realmente não era possível culpar a árvore</w:t>
      </w:r>
      <w:r w:rsidRPr="006312B5">
        <w:rPr>
          <w:color w:val="auto"/>
        </w:rPr>
        <w:t>.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r w:rsidRPr="006312B5">
        <w:rPr>
          <w:i/>
          <w:color w:val="auto"/>
        </w:rPr>
        <w:t>Erewhon Revisited</w:t>
      </w:r>
      <w:r w:rsidRPr="006312B5">
        <w:rPr>
          <w:color w:val="auto"/>
        </w:rPr>
        <w:t xml:space="preserve">. Todos irão se lembrar de que em </w:t>
      </w:r>
      <w:r w:rsidRPr="006312B5">
        <w:rPr>
          <w:i/>
          <w:color w:val="auto"/>
        </w:rPr>
        <w:t>Erewhon</w:t>
      </w:r>
      <w:r w:rsidRPr="006312B5">
        <w:rPr>
          <w:color w:val="auto"/>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6312B5">
        <w:rPr>
          <w:color w:val="auto"/>
        </w:rPr>
        <w:t>fazê-lo</w:t>
      </w:r>
      <w:proofErr w:type="gramEnd"/>
      <w:r w:rsidRPr="006312B5">
        <w:rPr>
          <w:color w:val="auto"/>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6E4117"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w:t>
      </w:r>
      <w:r w:rsidRPr="00922FAB">
        <w:rPr>
          <w:color w:val="auto"/>
          <w:highlight w:val="yellow"/>
        </w:rPr>
        <w:t>Digo de maneira bastante deliberada que a religião cristã, tal como é organizada em suas igrejas, foi e é o maior inimigo do progresso moral no mundo.</w:t>
      </w:r>
      <w:r w:rsidRPr="006312B5">
        <w:rPr>
          <w:color w:val="auto"/>
        </w:rPr>
        <w:t xml:space="preserve"> </w:t>
      </w:r>
    </w:p>
    <w:p w:rsidR="00922FAB" w:rsidRDefault="00922FAB">
      <w:pPr>
        <w:ind w:left="-15" w:right="14"/>
        <w:rPr>
          <w:b/>
          <w:color w:val="auto"/>
          <w:sz w:val="42"/>
        </w:rPr>
      </w:pPr>
    </w:p>
    <w:p w:rsidR="003423F3" w:rsidRDefault="005F26E7" w:rsidP="00922FAB">
      <w:pPr>
        <w:ind w:left="-15" w:right="14"/>
        <w:jc w:val="center"/>
        <w:rPr>
          <w:b/>
          <w:color w:val="auto"/>
          <w:sz w:val="18"/>
        </w:rPr>
      </w:pPr>
      <w:r w:rsidRPr="006312B5">
        <w:rPr>
          <w:b/>
          <w:color w:val="auto"/>
          <w:sz w:val="42"/>
        </w:rPr>
        <w:t>C</w:t>
      </w:r>
      <w:r w:rsidRPr="006312B5">
        <w:rPr>
          <w:b/>
          <w:color w:val="auto"/>
          <w:sz w:val="18"/>
        </w:rPr>
        <w:t>OMO AS IGREJAS RETARDARAM O PROGRESSO</w:t>
      </w:r>
    </w:p>
    <w:p w:rsidR="00922FAB" w:rsidRPr="006312B5" w:rsidRDefault="00922FAB">
      <w:pPr>
        <w:ind w:left="-15" w:right="14"/>
        <w:rPr>
          <w:color w:val="auto"/>
        </w:rPr>
      </w:pPr>
    </w:p>
    <w:p w:rsidR="003423F3" w:rsidRPr="006312B5" w:rsidRDefault="005F26E7" w:rsidP="00922FAB">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922FAB" w:rsidRDefault="005F26E7" w:rsidP="00922FAB">
      <w:pPr>
        <w:spacing w:after="15"/>
        <w:ind w:left="10" w:right="10" w:hanging="10"/>
        <w:rPr>
          <w:color w:val="auto"/>
        </w:rPr>
      </w:pPr>
      <w:r w:rsidRPr="006312B5">
        <w:rPr>
          <w:color w:val="auto"/>
        </w:rPr>
        <w:t>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w:t>
      </w:r>
    </w:p>
    <w:p w:rsidR="00922FAB" w:rsidRDefault="005F26E7">
      <w:pPr>
        <w:spacing w:after="15"/>
        <w:ind w:left="10" w:right="10" w:hanging="10"/>
        <w:jc w:val="right"/>
        <w:rPr>
          <w:color w:val="auto"/>
        </w:rPr>
      </w:pPr>
      <w:r w:rsidRPr="006312B5">
        <w:rPr>
          <w:color w:val="auto"/>
        </w:rPr>
        <w:t xml:space="preserve"> </w:t>
      </w:r>
    </w:p>
    <w:p w:rsidR="003423F3" w:rsidRDefault="005F26E7" w:rsidP="00922FAB">
      <w:pPr>
        <w:spacing w:after="15"/>
        <w:ind w:left="10" w:right="10" w:hanging="10"/>
        <w:jc w:val="center"/>
        <w:rPr>
          <w:b/>
          <w:color w:val="auto"/>
          <w:sz w:val="18"/>
        </w:rPr>
      </w:pPr>
      <w:r w:rsidRPr="006312B5">
        <w:rPr>
          <w:b/>
          <w:color w:val="auto"/>
          <w:sz w:val="42"/>
        </w:rPr>
        <w:t>M</w:t>
      </w:r>
      <w:r w:rsidRPr="006312B5">
        <w:rPr>
          <w:b/>
          <w:color w:val="auto"/>
          <w:sz w:val="18"/>
        </w:rPr>
        <w:t>EDO, A BASE DA RELIGIÃO</w:t>
      </w:r>
      <w:bookmarkStart w:id="1" w:name="_GoBack"/>
      <w:bookmarkEnd w:id="1"/>
    </w:p>
    <w:p w:rsidR="00922FAB" w:rsidRPr="006312B5" w:rsidRDefault="00922FAB">
      <w:pPr>
        <w:spacing w:after="15"/>
        <w:ind w:left="10" w:right="10" w:hanging="10"/>
        <w:jc w:val="right"/>
        <w:rPr>
          <w:color w:val="auto"/>
        </w:rPr>
      </w:pPr>
    </w:p>
    <w:p w:rsidR="003423F3" w:rsidRPr="006312B5" w:rsidRDefault="005F26E7">
      <w:pPr>
        <w:spacing w:after="378"/>
        <w:ind w:left="-15" w:right="14" w:firstLine="0"/>
        <w:rPr>
          <w:color w:val="auto"/>
        </w:rPr>
      </w:pPr>
      <w:r w:rsidRPr="006312B5">
        <w:rPr>
          <w:color w:val="auto"/>
        </w:rPr>
        <w:t xml:space="preserve">A religião se baseia, acredito, em primeiro lugar e principalmente, no medo. Trata-se, em parte, do terror ao desconhecido e, em parte, como eu já disse, do desejo de sentir a existência de um tipo de irmão mais velho a proteger-nos em todos os problemas e disputas. O medo é a base de todo o problema: medo do misterioso, medo da derrota, medo da morte. O medo é o progenitor da crueldade, </w:t>
      </w:r>
      <w:proofErr w:type="gramStart"/>
      <w:r w:rsidRPr="006312B5">
        <w:rPr>
          <w:color w:val="auto"/>
        </w:rPr>
        <w:t>e portanto</w:t>
      </w:r>
      <w:proofErr w:type="gramEnd"/>
      <w:r w:rsidRPr="006312B5">
        <w:rPr>
          <w:color w:val="auto"/>
        </w:rPr>
        <w:t xml:space="preserve"> não é nada surpreendente o fato de a crueldade e a religião andarem lado a lado. Isso acontece porque o medo é a base de ambas as coisas.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A ciência pode nos ensinar, e acredito que também nosso próprio coração pode fazê-lo, a não mais olhar em volta em busca de apoios </w:t>
      </w:r>
      <w:r w:rsidRPr="006312B5">
        <w:rPr>
          <w:color w:val="auto"/>
        </w:rPr>
        <w:lastRenderedPageBreak/>
        <w:t>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6312B5" w:rsidRDefault="005F26E7">
      <w:pPr>
        <w:pStyle w:val="Ttulo1"/>
        <w:numPr>
          <w:ilvl w:val="0"/>
          <w:numId w:val="0"/>
        </w:numPr>
        <w:rPr>
          <w:color w:val="auto"/>
        </w:rPr>
      </w:pPr>
      <w:r w:rsidRPr="006312B5">
        <w:rPr>
          <w:color w:val="auto"/>
          <w:sz w:val="42"/>
        </w:rPr>
        <w:t>O</w:t>
      </w:r>
      <w:r w:rsidRPr="006312B5">
        <w:rPr>
          <w:b w:val="0"/>
          <w:color w:val="auto"/>
          <w:sz w:val="30"/>
        </w:rPr>
        <w:t xml:space="preserve"> </w:t>
      </w:r>
      <w:r w:rsidRPr="006312B5">
        <w:rPr>
          <w:color w:val="auto"/>
        </w:rPr>
        <w:t>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Butler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6312B5" w:rsidRDefault="005F26E7">
      <w:pPr>
        <w:pStyle w:val="Ttulo1"/>
        <w:numPr>
          <w:ilvl w:val="0"/>
          <w:numId w:val="0"/>
        </w:numPr>
        <w:spacing w:after="270"/>
        <w:ind w:right="8"/>
        <w:rPr>
          <w:color w:val="auto"/>
        </w:rPr>
      </w:pPr>
      <w:r w:rsidRPr="006312B5">
        <w:rPr>
          <w:color w:val="auto"/>
          <w:sz w:val="42"/>
        </w:rPr>
        <w:t>S</w:t>
      </w:r>
      <w:r w:rsidRPr="006312B5">
        <w:rPr>
          <w:color w:val="auto"/>
        </w:rPr>
        <w:t>ERÁ QUE A RELIGIÃO FEZ CONTRIBUIÇÕES ÚTEIS PARA A CIVILIZAÇÃO?</w:t>
      </w:r>
      <w:r w:rsidRPr="006312B5">
        <w:rPr>
          <w:color w:val="auto"/>
          <w:u w:val="single" w:color="0000EE"/>
        </w:rPr>
        <w:t>16</w:t>
      </w:r>
      <w:r w:rsidRPr="006312B5">
        <w:rPr>
          <w:color w:val="auto"/>
        </w:rPr>
        <w:t xml:space="preserve">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rPr>
          <w:color w:val="auto"/>
        </w:rPr>
        <w:t>os ensinamento</w:t>
      </w:r>
      <w:proofErr w:type="gramEnd"/>
      <w:r w:rsidRPr="006312B5">
        <w:rPr>
          <w:color w:val="auto"/>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Ku-Klux-Klan.</w:t>
      </w:r>
    </w:p>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312B5" w:rsidRDefault="005F26E7">
      <w:pPr>
        <w:pStyle w:val="Ttulo1"/>
        <w:numPr>
          <w:ilvl w:val="0"/>
          <w:numId w:val="0"/>
        </w:numPr>
        <w:ind w:right="33"/>
        <w:rPr>
          <w:color w:val="auto"/>
        </w:rPr>
      </w:pPr>
      <w:r w:rsidRPr="006312B5">
        <w:rPr>
          <w:color w:val="auto"/>
          <w:sz w:val="42"/>
        </w:rPr>
        <w:t>C</w:t>
      </w:r>
      <w:r w:rsidRPr="006312B5">
        <w:rPr>
          <w:color w:val="auto"/>
        </w:rPr>
        <w:t>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sidRPr="006312B5">
        <w:rPr>
          <w:i/>
          <w:color w:val="auto"/>
        </w:rPr>
        <w:t>ars amandi</w:t>
      </w:r>
      <w:r w:rsidRPr="006312B5">
        <w:rPr>
          <w:color w:val="auto"/>
        </w:rP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6312B5">
        <w:rPr>
          <w:color w:val="auto"/>
        </w:rPr>
        <w:t xml:space="preserve">A concepção de Pecado ligada à ética cristã é algo que causa quantidade extraordinária de prejuízo, já que dá às pessoas uma válvula de escape para seu sadismo, a qual elas acreditam ser </w:t>
      </w:r>
      <w:proofErr w:type="gramStart"/>
      <w:r w:rsidRPr="006312B5">
        <w:rPr>
          <w:color w:val="auto"/>
        </w:rPr>
        <w:t>legítima</w:t>
      </w:r>
      <w:proofErr w:type="gramEnd"/>
      <w:r w:rsidRPr="006312B5">
        <w:rPr>
          <w:color w:val="auto"/>
        </w:rP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rsidRPr="006312B5">
        <w:rPr>
          <w:color w:val="auto"/>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6312B5" w:rsidRDefault="005F26E7">
      <w:pPr>
        <w:pStyle w:val="Ttulo1"/>
        <w:numPr>
          <w:ilvl w:val="0"/>
          <w:numId w:val="0"/>
        </w:numPr>
        <w:ind w:right="33"/>
        <w:rPr>
          <w:color w:val="auto"/>
        </w:rPr>
      </w:pPr>
      <w:r w:rsidRPr="006312B5">
        <w:rPr>
          <w:color w:val="auto"/>
          <w:sz w:val="42"/>
        </w:rPr>
        <w:t>A</w:t>
      </w:r>
      <w:r w:rsidRPr="006312B5">
        <w:rPr>
          <w:color w:val="auto"/>
        </w:rPr>
        <w:t>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Pr="006312B5" w:rsidRDefault="005F26E7">
      <w:pPr>
        <w:spacing w:after="375"/>
        <w:ind w:left="-15" w:right="14"/>
        <w:rPr>
          <w:color w:val="auto"/>
        </w:rPr>
      </w:pPr>
      <w:r w:rsidRPr="006312B5">
        <w:rPr>
          <w:color w:val="auto"/>
        </w:rP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rsidRPr="006312B5">
        <w:rPr>
          <w:color w:val="auto"/>
        </w:rP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sidRPr="006312B5">
        <w:rPr>
          <w:i/>
          <w:color w:val="auto"/>
        </w:rPr>
        <w:t>connoisseur</w:t>
      </w:r>
      <w:r w:rsidRPr="006312B5">
        <w:rPr>
          <w:color w:val="auto"/>
        </w:rP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The Mysteries of Life and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r w:rsidRPr="006312B5">
        <w:rPr>
          <w:i/>
          <w:color w:val="auto"/>
        </w:rPr>
        <w:t>Appearance and Reality</w:t>
      </w:r>
      <w:r w:rsidRPr="006312B5">
        <w:rPr>
          <w:color w:val="auto"/>
          <w:u w:val="single" w:color="0000EE"/>
        </w:rPr>
        <w:t>23</w:t>
      </w:r>
      <w:r w:rsidRPr="006312B5">
        <w:rPr>
          <w:color w:val="auto"/>
        </w:rP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“How charming is divine Philosophy! / Not harsh and crabbed, as dull fools suppose, / But musical as is Apollo’s lute.” (N.T.)</w:t>
      </w:r>
    </w:p>
    <w:p w:rsidR="003423F3" w:rsidRPr="006312B5" w:rsidRDefault="005F26E7">
      <w:pPr>
        <w:numPr>
          <w:ilvl w:val="0"/>
          <w:numId w:val="3"/>
        </w:numPr>
        <w:spacing w:after="102" w:line="340" w:lineRule="auto"/>
        <w:ind w:right="8" w:hanging="255"/>
        <w:rPr>
          <w:color w:val="auto"/>
        </w:rPr>
      </w:pPr>
      <w:r w:rsidRPr="006312B5">
        <w:rPr>
          <w:color w:val="auto"/>
          <w:sz w:val="18"/>
        </w:rPr>
        <w:t>Frederic William Henry Myers (1843-1901), poeta, ensaísta e estudioso inglês, fundou a Sociedade da Pesquisa Psíquica em 1882 e escreveu</w:t>
      </w:r>
      <w:r w:rsidRPr="006312B5">
        <w:rPr>
          <w:color w:val="auto"/>
        </w:rPr>
        <w:t xml:space="preserve"> </w:t>
      </w:r>
      <w:r w:rsidRPr="006312B5">
        <w:rPr>
          <w:i/>
          <w:color w:val="auto"/>
          <w:sz w:val="18"/>
        </w:rPr>
        <w:t>Human Personality and its Survival of Bodily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sidRPr="006312B5">
        <w:rPr>
          <w:color w:val="auto"/>
          <w:sz w:val="18"/>
          <w:u w:val="single" w:color="0000EE"/>
        </w:rPr>
        <w:t>22</w:t>
      </w:r>
      <w:r w:rsidRPr="006312B5">
        <w:rPr>
          <w:color w:val="auto"/>
        </w:rPr>
        <w:t xml:space="preserve"> </w:t>
      </w:r>
      <w:r w:rsidRPr="006312B5">
        <w:rPr>
          <w:color w:val="auto"/>
          <w:sz w:val="18"/>
        </w:rPr>
        <w:t>Tradução livre de: “That I shall never look upon thee more, / Never have relish in the faery power / Of unreflecting love!”.</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r w:rsidRPr="006312B5">
        <w:rPr>
          <w:i/>
          <w:color w:val="auto"/>
          <w:sz w:val="18"/>
        </w:rPr>
        <w:t>Appearance and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Home Life with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Edward Gibbon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John Knox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r w:rsidRPr="006312B5">
        <w:rPr>
          <w:color w:val="auto"/>
          <w:sz w:val="18"/>
        </w:rPr>
        <w:t>Arius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Irineu (século II), bispo de Lyon, na Gália Romana, foi um dos primeiros heresiologistas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r w:rsidRPr="006312B5">
        <w:rPr>
          <w:color w:val="auto"/>
          <w:sz w:val="18"/>
        </w:rPr>
        <w:t>Isidore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George Satayana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Jack Horner, personagem de uma rima infantil que diz: “</w:t>
      </w:r>
      <w:r w:rsidRPr="006312B5">
        <w:rPr>
          <w:i/>
          <w:color w:val="auto"/>
          <w:sz w:val="18"/>
        </w:rPr>
        <w:t>Little Jack Horner / Sat in a corner, / Eating his Christmas pie. / He put in his thumb, / And he pulled out a plum, / And said,</w:t>
      </w:r>
      <w:r w:rsidRPr="006312B5">
        <w:rPr>
          <w:color w:val="auto"/>
        </w:rPr>
        <w:t xml:space="preserve"> </w:t>
      </w:r>
      <w:r w:rsidRPr="006312B5">
        <w:rPr>
          <w:color w:val="auto"/>
          <w:sz w:val="18"/>
        </w:rPr>
        <w:t>‘</w:t>
      </w:r>
      <w:r w:rsidRPr="006312B5">
        <w:rPr>
          <w:i/>
          <w:color w:val="auto"/>
          <w:sz w:val="18"/>
        </w:rPr>
        <w:t>What a good boy am I!</w:t>
      </w:r>
      <w:r w:rsidRPr="006312B5">
        <w:rPr>
          <w:color w:val="auto"/>
          <w:sz w:val="18"/>
        </w:rPr>
        <w:t>’”. Tradução livre: O pequeno Jack Horner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Samuel Butler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r w:rsidRPr="006312B5">
        <w:rPr>
          <w:color w:val="auto"/>
          <w:sz w:val="18"/>
        </w:rPr>
        <w:t>Kuomintang: partido chinês fundado em 1894 por Sun Yat-Sen (1866-1925). Revolucionário e primeiro presidente da República da China, Sun Yat-Sen teve papel fundamental na derrubada da dinastia Qing. (N.T.)</w:t>
      </w:r>
    </w:p>
    <w:p w:rsidR="003423F3" w:rsidRPr="006312B5" w:rsidRDefault="005F26E7">
      <w:pPr>
        <w:numPr>
          <w:ilvl w:val="0"/>
          <w:numId w:val="4"/>
        </w:numPr>
        <w:spacing w:after="70" w:line="268" w:lineRule="auto"/>
        <w:ind w:right="8" w:hanging="255"/>
        <w:rPr>
          <w:color w:val="auto"/>
        </w:rPr>
      </w:pPr>
      <w:r w:rsidRPr="006312B5">
        <w:rPr>
          <w:color w:val="auto"/>
          <w:sz w:val="18"/>
        </w:rPr>
        <w:t>Pierre Bayle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“by my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Eileen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sidRPr="006312B5">
        <w:rPr>
          <w:i/>
          <w:color w:val="auto"/>
        </w:rPr>
        <w:t xml:space="preserve">Miss </w:t>
      </w:r>
      <w:r w:rsidRPr="006312B5">
        <w:rPr>
          <w:color w:val="auto"/>
        </w:rPr>
        <w:t>Power diz: “Uma [a de Chao Meng-fu]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The Waning of the Middle Ages</w:t>
      </w:r>
      <w:r w:rsidRPr="006312B5">
        <w:rPr>
          <w:color w:val="auto"/>
        </w:rPr>
        <w:t xml:space="preserve">, do professor Huizinfa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r w:rsidRPr="006312B5">
        <w:rPr>
          <w:i/>
          <w:color w:val="auto"/>
          <w:sz w:val="23"/>
        </w:rPr>
        <w:t>ars amandi</w:t>
      </w:r>
      <w:r w:rsidRPr="006312B5">
        <w:rPr>
          <w:color w:val="auto"/>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r w:rsidRPr="006312B5">
        <w:rPr>
          <w:color w:val="auto"/>
        </w:rPr>
        <w:t>Huizinga,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r w:rsidRPr="006312B5">
        <w:rPr>
          <w:i/>
          <w:color w:val="auto"/>
          <w:sz w:val="18"/>
        </w:rPr>
        <w:t>Quotha</w:t>
      </w:r>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r w:rsidRPr="006312B5">
        <w:rPr>
          <w:i/>
          <w:color w:val="auto"/>
          <w:sz w:val="18"/>
        </w:rPr>
        <w:t>By my halidom</w:t>
      </w:r>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Referência a Thomas Bowdler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Paine,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Paine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Paine para a História consiste no fato de que ele transformou a pregação da democracia em algo democrático. Havia, no século XVIII, democratas entre os aristocratas franceses e ingleses, bem como </w:t>
      </w:r>
      <w:r w:rsidRPr="006312B5">
        <w:rPr>
          <w:i/>
          <w:color w:val="auto"/>
        </w:rPr>
        <w:t>philosophes</w:t>
      </w:r>
      <w:r w:rsidRPr="006312B5">
        <w:rPr>
          <w:color w:val="auto"/>
        </w:rP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Thetford (Inglaterra) em 1739, de pais </w:t>
      </w:r>
      <w:r w:rsidRPr="006312B5">
        <w:rPr>
          <w:i/>
          <w:color w:val="auto"/>
        </w:rPr>
        <w:t>quakers</w:t>
      </w:r>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r w:rsidRPr="006312B5">
        <w:rPr>
          <w:i/>
          <w:color w:val="auto"/>
        </w:rPr>
        <w:t>Terrible</w:t>
      </w:r>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sidRPr="006312B5">
        <w:rPr>
          <w:i/>
          <w:color w:val="auto"/>
        </w:rPr>
        <w:t>quaker</w:t>
      </w:r>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Pr="006312B5" w:rsidRDefault="005F26E7">
      <w:pPr>
        <w:spacing w:after="31"/>
        <w:ind w:left="-15" w:right="14"/>
        <w:rPr>
          <w:color w:val="auto"/>
        </w:rPr>
      </w:pPr>
      <w:r w:rsidRPr="006312B5">
        <w:rPr>
          <w:color w:val="auto"/>
        </w:rP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Foi em nome da liberdade – a liberdade contra a monarquia, a aristocracia, da escravidão e todas as espécies de tirania – que Paine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Mandou instalar um grande modelo de sua ponte de ferro na estação de trem de Paddington, pelo que foi elogiado por engenheiros eminentes, parecendo que passaria o resto da vida como inventor.</w:t>
      </w:r>
    </w:p>
    <w:p w:rsidR="003423F3" w:rsidRPr="006312B5" w:rsidRDefault="005F26E7">
      <w:pPr>
        <w:ind w:left="-15" w:right="14"/>
        <w:rPr>
          <w:color w:val="auto"/>
        </w:rPr>
      </w:pPr>
      <w:r w:rsidRPr="006312B5">
        <w:rPr>
          <w:color w:val="auto"/>
        </w:rP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Paine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r w:rsidRPr="006312B5">
        <w:rPr>
          <w:color w:val="auto"/>
        </w:rPr>
        <w:t>Paine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sidRPr="006312B5">
        <w:rPr>
          <w:i/>
          <w:color w:val="auto"/>
        </w:rPr>
        <w:t>The Age of Reason</w:t>
      </w:r>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The Age of Reason</w:t>
      </w:r>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sidRPr="006312B5">
        <w:rPr>
          <w:i/>
          <w:color w:val="auto"/>
        </w:rPr>
        <w:t>The Age of Reason</w:t>
      </w:r>
      <w:r w:rsidRPr="006312B5">
        <w:rPr>
          <w:color w:val="auto"/>
        </w:rP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sidRPr="006312B5">
        <w:rPr>
          <w:i/>
          <w:color w:val="auto"/>
        </w:rPr>
        <w:t>quakers</w:t>
      </w:r>
      <w:r w:rsidRPr="006312B5">
        <w:rPr>
          <w:color w:val="auto"/>
        </w:rPr>
        <w:t xml:space="preserve"> recusaram o pedido de Paine para </w:t>
      </w:r>
      <w:r w:rsidRPr="006312B5">
        <w:rPr>
          <w:color w:val="auto"/>
        </w:rPr>
        <w:lastRenderedPageBreak/>
        <w:t xml:space="preserve">que o enterrassem em seu cemitério, apesar de um agricultor </w:t>
      </w:r>
      <w:r w:rsidRPr="006312B5">
        <w:rPr>
          <w:i/>
          <w:color w:val="auto"/>
        </w:rPr>
        <w:t>quaker</w:t>
      </w:r>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The Age of Reason</w:t>
      </w:r>
      <w:r w:rsidRPr="006312B5">
        <w:rPr>
          <w:color w:val="auto"/>
        </w:rPr>
        <w:t xml:space="preserve">, a obra de Paine deixou de ter importância. Por um longo tempo, ele esteve muito doente; quando se recuperou, não encontrou campo de ação na França do </w:t>
      </w:r>
      <w:r w:rsidRPr="006312B5">
        <w:rPr>
          <w:i/>
          <w:color w:val="auto"/>
        </w:rPr>
        <w:t>Directoire</w:t>
      </w:r>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Age of Reason</w:t>
      </w:r>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rsidRPr="006312B5">
        <w:rPr>
          <w:color w:val="auto"/>
        </w:rP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sidRPr="006312B5">
        <w:rPr>
          <w:color w:val="auto"/>
          <w:u w:val="single" w:color="0000EE"/>
        </w:rPr>
        <w:t>51</w:t>
      </w:r>
      <w:r w:rsidRPr="006312B5">
        <w:rPr>
          <w:color w:val="auto"/>
        </w:rP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A influência de Paine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r w:rsidRPr="006312B5">
        <w:rPr>
          <w:color w:val="auto"/>
          <w:sz w:val="18"/>
        </w:rPr>
        <w:t>Maximilien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r w:rsidRPr="006312B5">
        <w:rPr>
          <w:i/>
          <w:color w:val="auto"/>
          <w:sz w:val="18"/>
        </w:rPr>
        <w:t>Tories</w:t>
      </w:r>
      <w:r w:rsidRPr="006312B5">
        <w:rPr>
          <w:color w:val="auto"/>
          <w:sz w:val="18"/>
        </w:rPr>
        <w:t>: membros do Partido Tory,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Sua biografia de Paine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sidRPr="006312B5">
        <w:rPr>
          <w:i/>
          <w:color w:val="auto"/>
        </w:rPr>
        <w:t>Barnaby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r w:rsidRPr="006312B5">
        <w:rPr>
          <w:i/>
          <w:color w:val="auto"/>
        </w:rPr>
        <w:t>Fairchild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r w:rsidRPr="006312B5">
        <w:rPr>
          <w:i/>
          <w:color w:val="auto"/>
          <w:sz w:val="18"/>
        </w:rPr>
        <w:t>Tally-ho</w:t>
      </w:r>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r w:rsidRPr="006312B5">
        <w:rPr>
          <w:i/>
          <w:color w:val="auto"/>
          <w:sz w:val="18"/>
        </w:rPr>
        <w:t>Fairchild Family</w:t>
      </w:r>
      <w:r w:rsidRPr="006312B5">
        <w:rPr>
          <w:color w:val="auto"/>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sidRPr="006312B5">
        <w:rPr>
          <w:color w:val="auto"/>
          <w:u w:val="single" w:color="0000EE"/>
        </w:rPr>
        <w:t>58</w:t>
      </w:r>
      <w:r w:rsidRPr="006312B5">
        <w:rPr>
          <w:color w:val="auto"/>
        </w:rPr>
        <w:t xml:space="preserve"> e de Phyllis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Londres: George Allen &amp; Unwin Ltd.</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“After the Family – What?” (Depois da família – o quê?), que faz parte do livro</w:t>
      </w:r>
      <w:r w:rsidRPr="006312B5">
        <w:rPr>
          <w:color w:val="auto"/>
        </w:rPr>
        <w:t xml:space="preserve"> </w:t>
      </w:r>
      <w:r w:rsidRPr="006312B5">
        <w:rPr>
          <w:i/>
          <w:color w:val="auto"/>
          <w:sz w:val="18"/>
        </w:rPr>
        <w:t>The New Generation</w:t>
      </w:r>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Hevelock Ellis:</w:t>
      </w:r>
      <w:r w:rsidRPr="006312B5">
        <w:rPr>
          <w:color w:val="auto"/>
        </w:rPr>
        <w:t xml:space="preserve"> </w:t>
      </w:r>
      <w:r w:rsidRPr="006312B5">
        <w:rPr>
          <w:i/>
          <w:color w:val="auto"/>
          <w:sz w:val="18"/>
        </w:rPr>
        <w:t>Perversion in Childhood and Adolescence</w:t>
      </w:r>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r w:rsidRPr="006312B5">
        <w:rPr>
          <w:color w:val="auto"/>
          <w:sz w:val="18"/>
        </w:rPr>
        <w:t>Phlyllis Blanchard:</w:t>
      </w:r>
      <w:r w:rsidRPr="006312B5">
        <w:rPr>
          <w:color w:val="auto"/>
        </w:rPr>
        <w:t xml:space="preserve"> </w:t>
      </w:r>
      <w:r w:rsidRPr="006312B5">
        <w:rPr>
          <w:i/>
          <w:color w:val="auto"/>
          <w:sz w:val="18"/>
        </w:rPr>
        <w:t>Obscenity in Children</w:t>
      </w:r>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sidRPr="006312B5">
        <w:rPr>
          <w:i/>
          <w:color w:val="auto"/>
        </w:rPr>
        <w:t>en bloc</w:t>
      </w:r>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sidRPr="006312B5">
        <w:rPr>
          <w:i/>
          <w:color w:val="auto"/>
        </w:rPr>
        <w:t>raison d’être</w:t>
      </w:r>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Este artigo foi publicado originalmente em maio de 1940, pouco depois de o juiz McGeehan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sidRPr="006312B5">
        <w:rPr>
          <w:i/>
          <w:color w:val="auto"/>
        </w:rPr>
        <w:t>quakers</w:t>
      </w:r>
      <w:r w:rsidRPr="006312B5">
        <w:rPr>
          <w:color w:val="auto"/>
        </w:rPr>
        <w:t xml:space="preserve">, como se horrorizavam os cristãos mais convictos da corte de Carlos II, mas nos horrorizamos com os homens que aplicam aos problemas do presente a mesma perspectiva e os mesmos princípios que os </w:t>
      </w:r>
      <w:r w:rsidRPr="006312B5">
        <w:rPr>
          <w:i/>
          <w:color w:val="auto"/>
        </w:rPr>
        <w:t>quakers</w:t>
      </w:r>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Amplos círculos interessados em ciência foram ensinados, na melhor das hipóteses, apenas no espírito da indiferençaem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r w:rsidRPr="006312B5">
        <w:rPr>
          <w:i/>
          <w:color w:val="auto"/>
          <w:sz w:val="23"/>
        </w:rPr>
        <w:t>exposé</w:t>
      </w:r>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Penso que também se deve admitir que Tocqueville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Este debate foi originalmente transmitido em 1948, no Third Programme da BBC. Foi editado na publicação</w:t>
      </w:r>
      <w:r w:rsidRPr="006312B5">
        <w:rPr>
          <w:color w:val="auto"/>
        </w:rPr>
        <w:t xml:space="preserve"> </w:t>
      </w:r>
      <w:r w:rsidRPr="006312B5">
        <w:rPr>
          <w:i/>
          <w:color w:val="auto"/>
          <w:sz w:val="23"/>
        </w:rPr>
        <w:t xml:space="preserve">Humanitas </w:t>
      </w:r>
      <w:r w:rsidRPr="006312B5">
        <w:rPr>
          <w:color w:val="auto"/>
          <w:sz w:val="23"/>
        </w:rPr>
        <w:t xml:space="preserve">do outono de 1948 e é aqui reimpresso com a gentil permissão do padre Copleston.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Principia Ethics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COPLESTON: Concordo. Mas então não há, a seu ver, critérios objetivos além do sentimento para condenar a conduta do comandante de Belsen?</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COPLESTON: Então, o senhor diria que não há critério, além do sentimento, que permita disntiguir entre o comportamento do comandante de Belsen e o comportamento, digamos, de sir Stafford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porque, afinal de contas, para o próprio comandante de Belsen, essas ações eram agradáveis.</w:t>
      </w:r>
    </w:p>
    <w:p w:rsidR="003423F3" w:rsidRPr="006312B5" w:rsidRDefault="005F26E7">
      <w:pPr>
        <w:ind w:left="300" w:right="14" w:hanging="315"/>
        <w:rPr>
          <w:color w:val="auto"/>
        </w:rPr>
      </w:pPr>
      <w:r w:rsidRPr="006312B5">
        <w:rPr>
          <w:color w:val="auto"/>
        </w:rP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r w:rsidRPr="006312B5">
        <w:rPr>
          <w:color w:val="auto"/>
          <w:sz w:val="18"/>
        </w:rPr>
        <w:t>Belsen: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Sir Richard Stafford Cripp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r w:rsidRPr="006312B5">
        <w:rPr>
          <w:i/>
          <w:color w:val="auto"/>
          <w:sz w:val="18"/>
        </w:rPr>
        <w:t>Dagens Nyheter</w:t>
      </w:r>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r w:rsidRPr="006312B5">
        <w:rPr>
          <w:i/>
          <w:color w:val="auto"/>
          <w:sz w:val="18"/>
        </w:rPr>
        <w:t>Christianity and History</w:t>
      </w:r>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Jean Auguste Marie Joseph Jaurès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John Morley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r w:rsidRPr="006312B5">
        <w:rPr>
          <w:color w:val="auto"/>
        </w:rP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sidRPr="006312B5">
        <w:rPr>
          <w:i/>
          <w:color w:val="auto"/>
        </w:rPr>
        <w:t>America</w:t>
      </w:r>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sidRPr="006312B5">
        <w:rPr>
          <w:i/>
          <w:color w:val="auto"/>
        </w:rPr>
        <w:t xml:space="preserve">Journal &amp; American </w:t>
      </w:r>
      <w:r w:rsidRPr="006312B5">
        <w:rPr>
          <w:color w:val="auto"/>
        </w:rPr>
        <w:t xml:space="preserve">(hoje </w:t>
      </w:r>
      <w:r w:rsidRPr="006312B5">
        <w:rPr>
          <w:i/>
          <w:color w:val="auto"/>
        </w:rPr>
        <w:t>Journal-American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sidRPr="006312B5">
        <w:rPr>
          <w:i/>
          <w:color w:val="auto"/>
        </w:rPr>
        <w:t>Publishers’ Weekly</w:t>
      </w:r>
      <w:r w:rsidRPr="006312B5">
        <w:rPr>
          <w:color w:val="auto"/>
        </w:rPr>
        <w:t xml:space="preserve"> e </w:t>
      </w:r>
      <w:r w:rsidRPr="006312B5">
        <w:rPr>
          <w:i/>
          <w:color w:val="auto"/>
        </w:rPr>
        <w:t>New York Herald Tribune</w:t>
      </w:r>
      <w:r w:rsidRPr="006312B5">
        <w:rPr>
          <w:color w:val="auto"/>
        </w:rPr>
        <w:t>, tanto em seus editoriais como por Dorothy Thompson, em sua coluna “On the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rsidRPr="006312B5">
        <w:rPr>
          <w:color w:val="auto"/>
        </w:rP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Kay,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sidRPr="006312B5">
        <w:rPr>
          <w:i/>
          <w:color w:val="auto"/>
        </w:rPr>
        <w:t>Education and the Good Life</w:t>
      </w:r>
      <w:r w:rsidRPr="006312B5">
        <w:rPr>
          <w:color w:val="auto"/>
        </w:rPr>
        <w:t xml:space="preserve"> [A Educação e a Boa Vida], </w:t>
      </w:r>
      <w:r w:rsidRPr="006312B5">
        <w:rPr>
          <w:i/>
          <w:color w:val="auto"/>
        </w:rPr>
        <w:t>Marriage and Morals</w:t>
      </w:r>
      <w:r w:rsidRPr="006312B5">
        <w:rPr>
          <w:color w:val="auto"/>
        </w:rPr>
        <w:t xml:space="preserve"> [Casamento e Moral], </w:t>
      </w:r>
      <w:r w:rsidRPr="006312B5">
        <w:rPr>
          <w:i/>
          <w:color w:val="auto"/>
        </w:rPr>
        <w:t>Education and the Modern World</w:t>
      </w:r>
      <w:r w:rsidRPr="006312B5">
        <w:rPr>
          <w:color w:val="auto"/>
        </w:rPr>
        <w:t xml:space="preserve"> [Educação e o Mundo Moderno] </w:t>
      </w:r>
      <w:r w:rsidRPr="006312B5">
        <w:rPr>
          <w:i/>
          <w:color w:val="auto"/>
        </w:rPr>
        <w:t>e What I Believe</w:t>
      </w:r>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sidRPr="006312B5">
        <w:rPr>
          <w:i/>
          <w:color w:val="auto"/>
        </w:rPr>
        <w:t>Sunday Mirror</w:t>
      </w:r>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New Republic</w:t>
      </w:r>
      <w:r w:rsidRPr="006312B5">
        <w:rPr>
          <w:color w:val="auto"/>
        </w:rP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rsidRPr="006312B5">
        <w:rPr>
          <w:color w:val="auto"/>
        </w:rP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non sequitur</w:t>
      </w:r>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juiz McGeehan trataria com seriedade os mesmos argumentos se fossem feitos com base em uma petição no caso de Maritain.</w:t>
      </w:r>
    </w:p>
    <w:p w:rsidR="003423F3" w:rsidRPr="006312B5" w:rsidRDefault="005F26E7">
      <w:pPr>
        <w:ind w:left="-15" w:right="14"/>
        <w:rPr>
          <w:color w:val="auto"/>
        </w:rPr>
      </w:pPr>
      <w:r w:rsidRPr="006312B5">
        <w:rPr>
          <w:color w:val="auto"/>
        </w:rP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sidRPr="006312B5">
        <w:rPr>
          <w:i/>
          <w:color w:val="auto"/>
        </w:rPr>
        <w:t>normae</w:t>
      </w:r>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O caráter de Russell era bastante mau,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r w:rsidRPr="006312B5">
        <w:rPr>
          <w:i/>
          <w:color w:val="auto"/>
          <w:sz w:val="23"/>
        </w:rPr>
        <w:t>Education and the Modern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r w:rsidRPr="006312B5">
        <w:rPr>
          <w:i/>
          <w:color w:val="auto"/>
          <w:sz w:val="23"/>
        </w:rPr>
        <w:t>Marrigae and Morals</w:t>
      </w:r>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r w:rsidRPr="006312B5">
        <w:rPr>
          <w:i/>
          <w:color w:val="auto"/>
          <w:sz w:val="23"/>
        </w:rPr>
        <w:t>What I Believe</w:t>
      </w:r>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The Nation</w:t>
      </w:r>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r w:rsidRPr="006312B5">
        <w:rPr>
          <w:i/>
          <w:color w:val="auto"/>
          <w:sz w:val="23"/>
        </w:rPr>
        <w:t>Education and the Good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sidRPr="006312B5">
        <w:rPr>
          <w:i/>
          <w:color w:val="auto"/>
          <w:sz w:val="23"/>
        </w:rPr>
        <w:t>Education and the Good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r w:rsidRPr="006312B5">
        <w:rPr>
          <w:i/>
          <w:color w:val="auto"/>
          <w:sz w:val="23"/>
        </w:rPr>
        <w:t>Education and the Modern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sidRPr="006312B5">
        <w:rPr>
          <w:i/>
          <w:color w:val="auto"/>
        </w:rPr>
        <w:t>Marriage and Morals</w:t>
      </w:r>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preto é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rsidRPr="006312B5">
        <w:rPr>
          <w:color w:val="auto"/>
        </w:rP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r w:rsidRPr="006312B5">
        <w:rPr>
          <w:i/>
          <w:color w:val="auto"/>
        </w:rPr>
        <w:t>Education and the Good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r w:rsidRPr="006312B5">
        <w:rPr>
          <w:i/>
          <w:color w:val="auto"/>
        </w:rPr>
        <w:t>Marriage and Morals</w:t>
      </w:r>
      <w:r w:rsidRPr="006312B5">
        <w:rPr>
          <w:color w:val="auto"/>
        </w:rPr>
        <w:t>, um dos livros apresentados por Goldstein e supostamente lido por McGeehan.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New Republic</w:t>
      </w:r>
      <w:r w:rsidRPr="006312B5">
        <w:rPr>
          <w:color w:val="auto"/>
        </w:rP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sidRPr="006312B5">
        <w:rPr>
          <w:i/>
          <w:color w:val="auto"/>
        </w:rPr>
        <w:t>Marriage and Morals</w:t>
      </w:r>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rsidRPr="006312B5">
        <w:rPr>
          <w:color w:val="auto"/>
        </w:rPr>
        <w:t>A.Neilson</w:t>
      </w:r>
      <w:proofErr w:type="gramEnd"/>
      <w:r w:rsidRPr="006312B5">
        <w:rPr>
          <w:color w:val="auto"/>
        </w:rP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Pr="006312B5" w:rsidRDefault="005F26E7">
      <w:pPr>
        <w:ind w:left="-15" w:right="14"/>
        <w:rPr>
          <w:color w:val="auto"/>
        </w:rPr>
      </w:pPr>
      <w:r w:rsidRPr="006312B5">
        <w:rPr>
          <w:color w:val="auto"/>
        </w:rP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sidRPr="006312B5">
        <w:rPr>
          <w:i/>
          <w:color w:val="auto"/>
        </w:rPr>
        <w:t>America</w:t>
      </w:r>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McGeehan,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McGeehan.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McGeehan,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Pr="006312B5" w:rsidRDefault="005F26E7">
      <w:pPr>
        <w:ind w:left="-15" w:right="14"/>
        <w:rPr>
          <w:color w:val="auto"/>
        </w:rPr>
      </w:pPr>
      <w:r w:rsidRPr="006312B5">
        <w:rPr>
          <w:color w:val="auto"/>
        </w:rP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rsidRPr="006312B5">
        <w:rPr>
          <w:color w:val="auto"/>
        </w:rP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[O Caso Bertrand Russell], obra excelente, editada pelo professor Horace M. Kallen e pelo já falecido John Dewey (The Viking Press, 1941). Tenho uma dívida pessoal com os ensaios de Kellen,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Este aspecto da decisão de McGeehan é discutido com mais profundidade em três artigos de jornais de Direito: “Trial By Ordeal, New Style”</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Yale Law Journal</w:t>
      </w:r>
      <w:r w:rsidRPr="006312B5">
        <w:rPr>
          <w:color w:val="auto"/>
          <w:sz w:val="18"/>
        </w:rPr>
        <w:t>, março de 1941; Comentário “The Bertrand Russell Litigation”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r w:rsidRPr="006312B5">
        <w:rPr>
          <w:i/>
          <w:color w:val="auto"/>
          <w:sz w:val="18"/>
        </w:rPr>
        <w:t>University of Chicago Law Review</w:t>
      </w:r>
      <w:r w:rsidRPr="006312B5">
        <w:rPr>
          <w:color w:val="auto"/>
        </w:rPr>
        <w:t xml:space="preserve"> </w:t>
      </w:r>
      <w:r w:rsidRPr="006312B5">
        <w:rPr>
          <w:color w:val="auto"/>
          <w:sz w:val="18"/>
        </w:rPr>
        <w:t>316; Comentário, “The Bertrand Russell Case: The History of a</w:t>
      </w:r>
    </w:p>
    <w:p w:rsidR="003423F3" w:rsidRPr="006312B5" w:rsidRDefault="005F26E7">
      <w:pPr>
        <w:spacing w:after="97" w:line="340" w:lineRule="auto"/>
        <w:ind w:left="-5" w:right="8" w:hanging="10"/>
        <w:rPr>
          <w:color w:val="auto"/>
        </w:rPr>
      </w:pPr>
      <w:r w:rsidRPr="006312B5">
        <w:rPr>
          <w:color w:val="auto"/>
          <w:sz w:val="18"/>
        </w:rPr>
        <w:t>Litigation”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1192. Sou grato a esses artigos por diversos outros pontos relativos às ilegalidades e irregularidades do procedimento de McGeehan.</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4 de outubro de 1956. Tomara que esses membros da Igreja de índole humanitária e mente sensata jamais tenham de comparecer a um tribunal presidido pelo juiz McGeehan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r w:rsidRPr="006312B5">
        <w:rPr>
          <w:i/>
          <w:color w:val="auto"/>
          <w:sz w:val="18"/>
        </w:rPr>
        <w:t>Why I am not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Lia Cremonese</w:t>
      </w:r>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r w:rsidRPr="006312B5">
        <w:rPr>
          <w:i/>
          <w:color w:val="auto"/>
          <w:sz w:val="18"/>
        </w:rPr>
        <w:t>Why I am not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1996 The Bertrand Russell Peace Foundation Ltd</w:t>
      </w:r>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r w:rsidRPr="006312B5">
        <w:rPr>
          <w:color w:val="auto"/>
          <w:sz w:val="18"/>
        </w:rPr>
        <w:t>All rights reserved. Tradução da edição em língua inglesa publicada por Routledge, a member of The Taylor &amp; Francis Group.</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r w:rsidRPr="006312B5">
        <w:rPr>
          <w:color w:val="auto"/>
          <w:sz w:val="56"/>
        </w:rPr>
        <w:t>Table of Contents</w:t>
      </w:r>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Por que não sou cristãoO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7. O destino de Thomas Paine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1A5828"/>
    <w:rsid w:val="002A61A1"/>
    <w:rsid w:val="002B2129"/>
    <w:rsid w:val="00333B47"/>
    <w:rsid w:val="003423F3"/>
    <w:rsid w:val="00376386"/>
    <w:rsid w:val="00393118"/>
    <w:rsid w:val="00396B0B"/>
    <w:rsid w:val="004538CF"/>
    <w:rsid w:val="00492AF7"/>
    <w:rsid w:val="00492DCD"/>
    <w:rsid w:val="004C6677"/>
    <w:rsid w:val="004F2539"/>
    <w:rsid w:val="005F26E7"/>
    <w:rsid w:val="006312B5"/>
    <w:rsid w:val="006E4117"/>
    <w:rsid w:val="00795798"/>
    <w:rsid w:val="00835B7C"/>
    <w:rsid w:val="00901F29"/>
    <w:rsid w:val="00922FAB"/>
    <w:rsid w:val="009942C9"/>
    <w:rsid w:val="009A3576"/>
    <w:rsid w:val="00B1698B"/>
    <w:rsid w:val="00B82077"/>
    <w:rsid w:val="00B90276"/>
    <w:rsid w:val="00BF5A98"/>
    <w:rsid w:val="00C53B1A"/>
    <w:rsid w:val="00D323EC"/>
    <w:rsid w:val="00DC1EE5"/>
    <w:rsid w:val="00EB625D"/>
    <w:rsid w:val="00FB6D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FBA7"/>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5690</TotalTime>
  <Pages>136</Pages>
  <Words>72258</Words>
  <Characters>390196</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16</cp:revision>
  <dcterms:created xsi:type="dcterms:W3CDTF">2026-01-24T11:51:00Z</dcterms:created>
  <dcterms:modified xsi:type="dcterms:W3CDTF">2026-01-30T14:12:00Z</dcterms:modified>
</cp:coreProperties>
</file>