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5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Série</w:t>
      </w:r>
      <w:r>
        <w:t xml:space="preserve"> </w:t>
      </w:r>
      <w:r>
        <w:t xml:space="preserve">Temporal</w:t>
      </w:r>
      <w:r>
        <w:t xml:space="preserve"> </w:t>
      </w:r>
      <w:r>
        <w:t xml:space="preserve">com</w:t>
      </w:r>
      <w:r>
        <w:t xml:space="preserve"> </w:t>
      </w:r>
      <w:r>
        <w:t xml:space="preserve">Holt-Winters</w:t>
      </w:r>
    </w:p>
    <w:p>
      <w:pPr>
        <w:pStyle w:val="Author"/>
      </w:pPr>
      <w:r>
        <w:t xml:space="preserve">Walter</w:t>
      </w:r>
      <w:r>
        <w:t xml:space="preserve"> </w:t>
      </w:r>
      <w:r>
        <w:t xml:space="preserve">Humberto</w:t>
      </w:r>
      <w:r>
        <w:t xml:space="preserve"> </w:t>
      </w:r>
      <w:r>
        <w:t xml:space="preserve">Subiza</w:t>
      </w:r>
      <w:r>
        <w:t xml:space="preserve"> </w:t>
      </w:r>
      <w:r>
        <w:t xml:space="preserve">Pina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de</w:t>
      </w:r>
      <w:r>
        <w:t xml:space="preserve"> </w:t>
      </w:r>
      <w:r>
        <w:t xml:space="preserve">fevereiro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analise-de-uma-serie-temporal-usando-o-metodo-holt-winters"/>
      <w:bookmarkEnd w:id="21"/>
      <w:r>
        <w:t xml:space="preserve">Análise de uma série temporal usando o método Holt-Winters</w:t>
      </w:r>
    </w:p>
    <w:p>
      <w:pPr>
        <w:pStyle w:val="Heading3"/>
      </w:pPr>
      <w:bookmarkStart w:id="22" w:name="introducao"/>
      <w:bookmarkEnd w:id="22"/>
      <w:r>
        <w:t xml:space="preserve">Introdução</w:t>
      </w:r>
    </w:p>
    <w:p>
      <w:pPr>
        <w:pStyle w:val="FirstParagraph"/>
      </w:pPr>
      <w:r>
        <w:t xml:space="preserve">Uma serie temporal é um conjunto de observações ordenadas no tempo e que apresentam uma dependencia serial, ou seja entre instantes de tempo, sendo a realizacao de um processo estocástico no tempo. Esse processo e dito de</w:t>
      </w:r>
      <w:r>
        <w:t xml:space="preserve"> </w:t>
      </w:r>
      <w:r>
        <w:rPr>
          <w:i/>
        </w:rPr>
        <w:t xml:space="preserve">ergódico</w:t>
      </w:r>
      <w:r>
        <w:t xml:space="preserve"> </w:t>
      </w:r>
      <w:r>
        <w:t xml:space="preserve">quando uma única variável permite modelar o comportamento e fazer predições (</w:t>
      </w:r>
      <w:r>
        <w:t xml:space="preserve"> </w:t>
      </w:r>
      <w:r>
        <w:rPr>
          <w:i/>
        </w:rPr>
        <w:t xml:space="preserve">horizonte de previsão</w:t>
      </w:r>
      <w:r>
        <w:t xml:space="preserve">).</w:t>
      </w:r>
    </w:p>
    <w:p>
      <w:pPr>
        <w:pStyle w:val="BodyText"/>
      </w:pPr>
      <w:r>
        <w:t xml:space="preserve">Em séries que apresentam sazonalidade, a variação sazonal pode ser modelada através de</w:t>
      </w:r>
      <w:r>
        <w:t xml:space="preserve"> </w:t>
      </w:r>
      <w:r>
        <w:rPr>
          <w:i/>
        </w:rPr>
        <w:t xml:space="preserve">fatores sazonais</w:t>
      </w:r>
      <w:r>
        <w:t xml:space="preserve">, sendo esses de dois tipos:</w:t>
      </w:r>
      <w:r>
        <w:t xml:space="preserve"> </w:t>
      </w:r>
      <w:r>
        <w:rPr>
          <w:b/>
        </w:rPr>
        <w:t xml:space="preserve">multiplicativo</w:t>
      </w:r>
      <w:r>
        <w:t xml:space="preserve"> </w:t>
      </w:r>
      <w:r>
        <w:t xml:space="preserve">(se a sazonalidade é alterada pelo nível da série) ou</w:t>
      </w:r>
      <w:r>
        <w:t xml:space="preserve"> </w:t>
      </w:r>
      <w:r>
        <w:rPr>
          <w:b/>
        </w:rPr>
        <w:t xml:space="preserve">aditivo</w:t>
      </w:r>
      <w:r>
        <w:t xml:space="preserve"> </w:t>
      </w:r>
      <w:r>
        <w:t xml:space="preserve">(o padrão sazonal não se altera).</w:t>
      </w:r>
    </w:p>
    <w:p>
      <w:pPr>
        <w:pStyle w:val="BodyText"/>
      </w:pPr>
      <w:r>
        <w:t xml:space="preserve">Um dos modelos mais utilizados, devido a seu baixo custo computacional é o modelo de</w:t>
      </w:r>
      <w:r>
        <w:t xml:space="preserve"> </w:t>
      </w:r>
      <w:r>
        <w:rPr>
          <w:i/>
        </w:rPr>
        <w:t xml:space="preserve">amortecimento exponencial de</w:t>
      </w:r>
      <w:r>
        <w:rPr>
          <w:i/>
        </w:rPr>
        <w:t xml:space="preserve"> </w:t>
      </w:r>
      <w:r>
        <w:rPr>
          <w:b/>
          <w:i/>
        </w:rPr>
        <w:t xml:space="preserve">Holt e Winters</w:t>
      </w:r>
      <w:r>
        <w:rPr>
          <w:vertAlign w:val="superscript"/>
          <w:i/>
        </w:rPr>
        <w:t xml:space="preserve">1,2,3</w:t>
      </w:r>
      <w:r>
        <w:t xml:space="preserve">.</w:t>
      </w:r>
    </w:p>
    <w:p>
      <w:pPr>
        <w:pStyle w:val="BodyText"/>
      </w:pPr>
      <w:r>
        <w:t xml:space="preserve">A função de predição de Holt-Winters, para séries temporais de período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em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períodos a frente após a</w:t>
      </w:r>
      <w:r>
        <w:t xml:space="preserve"> </w:t>
      </w:r>
      <m:oMath>
        <m:sSub>
          <m:e>
            <m:r>
              <m:t>t</m:t>
            </m:r>
          </m:e>
          <m:sub>
            <m:r>
              <m:t>é</m:t>
            </m:r>
            <m:r>
              <m:t>s</m:t>
            </m:r>
            <m:r>
              <m:t>i</m:t>
            </m:r>
            <m:r>
              <m:t>m</m:t>
            </m:r>
            <m:r>
              <m:t>a</m:t>
            </m:r>
          </m:sub>
        </m:sSub>
      </m:oMath>
      <w:r>
        <w:t xml:space="preserve"> </w:t>
      </w:r>
      <w:r>
        <w:t xml:space="preserve">observação é dada da seguinte forma: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groupChr>
                <m:groupChrPr>
                  <m:chr m:val="^"/>
                  <m:pos m:val="top"/>
                  <m:vertJc m:val="bot"/>
                </m:groupChrPr>
                <m:e>
                  <m:r>
                    <m:t>Y</m:t>
                  </m:r>
                </m:e>
              </m:groupChr>
            </m:e>
            <m:sub>
              <m:r>
                <m:t>t</m:t>
              </m:r>
              <m:r>
                <m:t>+</m:t>
              </m:r>
              <m:r>
                <m:t>h</m:t>
              </m:r>
            </m:sub>
          </m:sSub>
          <m:r>
            <m:t>=</m:t>
          </m:r>
          <m:sSub>
            <m:e>
              <m:r>
                <m:t>a</m:t>
              </m:r>
            </m:e>
            <m:sub>
              <m:r>
                <m:t>t</m:t>
              </m:r>
            </m:sub>
          </m:sSub>
          <m:r>
            <m:t>+</m:t>
          </m:r>
          <m:r>
            <m:t>h</m:t>
          </m:r>
          <m:r>
            <m:t>*</m:t>
          </m:r>
          <m:sSub>
            <m:e>
              <m:r>
                <m:t>b</m:t>
              </m:r>
            </m:e>
            <m:sub>
              <m:r>
                <m:t>t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t</m:t>
              </m:r>
              <m:r>
                <m:t>−</m:t>
              </m:r>
              <m:r>
                <m:t>p</m:t>
              </m:r>
              <m:r>
                <m:t>+</m:t>
              </m:r>
              <m:r>
                <m:t>1</m:t>
              </m:r>
              <m:r>
                <m:t>+</m:t>
              </m:r>
              <m:r>
                <m:t>(</m:t>
              </m:r>
              <m:r>
                <m:t>h</m:t>
              </m:r>
              <m:r>
                <m:t>−</m:t>
              </m:r>
              <m:r>
                <m:t>1</m:t>
              </m:r>
              <m:r>
                <m:t>)</m:t>
              </m:r>
              <m:r>
                <m:t> </m:t>
              </m:r>
              <m:r>
                <m:t>m</m:t>
              </m:r>
              <m:r>
                <m:t>o</m:t>
              </m:r>
              <m:r>
                <m:t>d</m:t>
              </m:r>
              <m:r>
                <m:t> </m:t>
              </m:r>
              <m:r>
                <m:t>p</m:t>
              </m:r>
            </m:sub>
          </m:sSub>
        </m:oMath>
      </m:oMathPara>
    </w:p>
    <w:p>
      <w:pPr>
        <w:pStyle w:val="FirstParagraph"/>
      </w:pPr>
      <w:r>
        <w:t xml:space="preserve">,</w:t>
      </w:r>
    </w:p>
    <w:p>
      <w:pPr>
        <w:pStyle w:val="BodyText"/>
      </w:pPr>
      <w:r>
        <w:t xml:space="preserve">onde</w:t>
      </w:r>
      <w:r>
        <w:t xml:space="preserve"> </w:t>
      </w:r>
      <m:oMath>
        <m:sSub>
          <m:e>
            <m:r>
              <m:t>a</m:t>
            </m:r>
          </m:e>
          <m:sub>
            <m:r>
              <m:t>t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s</m:t>
            </m:r>
          </m:e>
          <m:sub>
            <m:r>
              <m:t>t</m:t>
            </m:r>
          </m:sub>
        </m:sSub>
      </m:oMath>
      <w:r>
        <w:t xml:space="preserve">, são os parâmetros de nível, tendência e sazonalidade da série e são expressos por:</w:t>
      </w:r>
    </w:p>
    <w:p>
      <w:pPr>
        <w:pStyle w:val="BodyText"/>
      </w:pPr>
      <m:oMath>
        <m:sSub>
          <m:e>
            <m:r>
              <m:t>a</m:t>
            </m:r>
          </m:e>
          <m:sub>
            <m:r>
              <m:t>t</m:t>
            </m:r>
          </m:sub>
        </m:sSub>
        <m:r>
          <m:t>=</m:t>
        </m:r>
        <m:r>
          <m:t>α</m:t>
        </m:r>
        <m:r>
          <m:t>(</m:t>
        </m:r>
        <m:sSub>
          <m:e>
            <m:r>
              <m:t>Y</m:t>
            </m:r>
          </m:e>
          <m:sub>
            <m:r>
              <m:t>t</m:t>
            </m:r>
          </m:sub>
        </m:sSub>
        <m:r>
          <m:t>−</m:t>
        </m:r>
        <m:sSub>
          <m:e>
            <m:r>
              <m:t>s</m:t>
            </m:r>
          </m:e>
          <m:sub>
            <m:r>
              <m:t>t</m:t>
            </m:r>
            <m:r>
              <m:t>−</m:t>
            </m:r>
            <m:r>
              <m:t>p</m:t>
            </m:r>
          </m:sub>
        </m:sSub>
        <m:r>
          <m:t>)</m:t>
        </m:r>
        <m:r>
          <m:t>+</m:t>
        </m:r>
        <m:r>
          <m:t>(</m:t>
        </m:r>
        <m:r>
          <m:t>1</m:t>
        </m:r>
        <m:r>
          <m:t>−</m:t>
        </m:r>
        <m:r>
          <m:t>α</m:t>
        </m:r>
        <m:r>
          <m:t>)</m:t>
        </m:r>
        <m:r>
          <m:t>(</m:t>
        </m:r>
        <m:sSub>
          <m:e>
            <m:r>
              <m:t>a</m:t>
            </m:r>
          </m:e>
          <m:sub>
            <m:r>
              <m:t>t</m:t>
            </m:r>
            <m:r>
              <m:t>−</m:t>
            </m:r>
            <m:r>
              <m:t>1</m:t>
            </m:r>
          </m:sub>
        </m:sSub>
        <m:r>
          <m:t>+</m:t>
        </m:r>
        <m:sSub>
          <m:e>
            <m:r>
              <m:t>b</m:t>
            </m:r>
          </m:e>
          <m:sub>
            <m:r>
              <m:t>t</m:t>
            </m:r>
            <m:r>
              <m:t>−</m:t>
            </m:r>
            <m:r>
              <m:t>1</m:t>
            </m:r>
          </m:sub>
        </m:sSub>
        <m:r>
          <m:t>)</m:t>
        </m:r>
      </m:oMath>
    </w:p>
    <w:p>
      <w:pPr>
        <w:pStyle w:val="BodyText"/>
      </w:pPr>
      <m:oMath>
        <m:sSub>
          <m:e>
            <m:r>
              <m:t>b</m:t>
            </m:r>
          </m:e>
          <m:sub>
            <m:r>
              <m:t>t</m:t>
            </m:r>
          </m:sub>
        </m:sSub>
        <m:r>
          <m:t>=</m:t>
        </m:r>
        <m:r>
          <m:t>β</m:t>
        </m:r>
        <m:r>
          <m:t>(</m:t>
        </m:r>
        <m:sSub>
          <m:e>
            <m:r>
              <m:t>a</m:t>
            </m:r>
          </m:e>
          <m:sub>
            <m:r>
              <m:t>t</m:t>
            </m:r>
          </m:sub>
        </m:sSub>
        <m:r>
          <m:t>−</m:t>
        </m:r>
        <m:sSub>
          <m:e>
            <m:r>
              <m:t>a</m:t>
            </m:r>
          </m:e>
          <m:sub>
            <m:r>
              <m:t>t</m:t>
            </m:r>
            <m:r>
              <m:t>−</m:t>
            </m:r>
            <m:r>
              <m:t>1</m:t>
            </m:r>
          </m:sub>
        </m:sSub>
        <m:r>
          <m:t>)</m:t>
        </m:r>
        <m:r>
          <m:t>+</m:t>
        </m:r>
        <m:r>
          <m:t>(</m:t>
        </m:r>
        <m:r>
          <m:t>1</m:t>
        </m:r>
        <m:r>
          <m:t>−</m:t>
        </m:r>
        <m:r>
          <m:t>β</m:t>
        </m:r>
        <m:r>
          <m:t>)</m:t>
        </m:r>
        <m:sSub>
          <m:e>
            <m:r>
              <m:t>b</m:t>
            </m:r>
          </m:e>
          <m:sub>
            <m:r>
              <m:t>t</m:t>
            </m:r>
            <m:r>
              <m:t>−</m:t>
            </m:r>
            <m:r>
              <m:t>1</m:t>
            </m:r>
          </m:sub>
        </m:sSub>
      </m:oMath>
    </w:p>
    <w:p>
      <w:pPr>
        <w:pStyle w:val="BodyText"/>
      </w:pPr>
      <m:oMath>
        <m:sSub>
          <m:e>
            <m:r>
              <m:t>s</m:t>
            </m:r>
          </m:e>
          <m:sub>
            <m:r>
              <m:t>t</m:t>
            </m:r>
          </m:sub>
        </m:sSub>
        <m:r>
          <m:t>=</m:t>
        </m:r>
        <m:r>
          <m:t>γ</m:t>
        </m:r>
        <m:r>
          <m:t>(</m:t>
        </m:r>
        <m:sSub>
          <m:e>
            <m:r>
              <m:t>Y</m:t>
            </m:r>
          </m:e>
          <m:sub>
            <m:r>
              <m:t>t</m:t>
            </m:r>
          </m:sub>
        </m:sSub>
        <m:r>
          <m:t>−</m:t>
        </m:r>
        <m:sSub>
          <m:e>
            <m:r>
              <m:t>a</m:t>
            </m:r>
          </m:e>
          <m:sub>
            <m:r>
              <m:t>t</m:t>
            </m:r>
          </m:sub>
        </m:sSub>
        <m:r>
          <m:t>)</m:t>
        </m:r>
        <m:r>
          <m:t>+</m:t>
        </m:r>
        <m:r>
          <m:t>(</m:t>
        </m:r>
        <m:r>
          <m:t>1</m:t>
        </m:r>
        <m:r>
          <m:t>−</m:t>
        </m:r>
        <m:r>
          <m:t>γ</m:t>
        </m:r>
        <m:r>
          <m:t>)</m:t>
        </m:r>
        <m:sSub>
          <m:e>
            <m:r>
              <m:t>s</m:t>
            </m:r>
          </m:e>
          <m:sub>
            <m:r>
              <m:t>t</m:t>
            </m:r>
            <m:r>
              <m:t>−</m:t>
            </m:r>
            <m:r>
              <m:t>p</m:t>
            </m:r>
          </m:sub>
        </m:sSub>
      </m:oMath>
    </w:p>
    <w:p>
      <w:pPr>
        <w:pStyle w:val="BodyText"/>
      </w:pPr>
      <w:r>
        <w:t xml:space="preserve">A função tenta encontrar valores ótimos de inicío para os parãmetros, fazendo uma decomposição simples em tendência e sazonalidade, usando médias móveis.</w:t>
      </w:r>
    </w:p>
    <w:p>
      <w:pPr>
        <w:pStyle w:val="Heading4"/>
      </w:pPr>
      <w:bookmarkStart w:id="23" w:name="usando-o-metodo-holt-winters-no-r."/>
      <w:bookmarkEnd w:id="23"/>
      <w:r>
        <w:t xml:space="preserve">USANDO O MÉTODO HOLT-WINTERS NO R.</w:t>
      </w:r>
    </w:p>
    <w:p>
      <w:pPr>
        <w:pStyle w:val="FirstParagraph"/>
      </w:pPr>
      <w:r>
        <w:rPr>
          <w:b/>
        </w:rPr>
        <w:t xml:space="preserve">O propósito do análise é fazer uma previsão de vendas do comércio varejista para o ano de 2012.</w:t>
      </w:r>
    </w:p>
    <w:p>
      <w:pPr>
        <w:pStyle w:val="BodyText"/>
      </w:pPr>
      <w:r>
        <w:t xml:space="preserve">A série temporal em estudo foi extraída em 02/02/2018 da página do IBGE e está disponível em:</w:t>
      </w:r>
      <w:r>
        <w:t xml:space="preserve"> </w:t>
      </w:r>
      <w:hyperlink r:id="rId24">
        <w:r>
          <w:rPr>
            <w:rStyle w:val="Hyperlink"/>
          </w:rPr>
          <w:t xml:space="preserve">http://seriesestatisticas.ibge.gov.br/series.aspx?no=2&amp;op=0&amp;vcodigo=MC67&amp;t=volume-vendas-comercio-varejista-ampliado-tipos</w:t>
        </w:r>
      </w:hyperlink>
      <w:r>
        <w:t xml:space="preserve">.</w:t>
      </w:r>
    </w:p>
    <w:p>
      <w:pPr>
        <w:pStyle w:val="BodyText"/>
      </w:pPr>
      <w:r>
        <w:t xml:space="preserve">A série contém o</w:t>
      </w:r>
      <w:r>
        <w:t xml:space="preserve"> </w:t>
      </w:r>
      <w:r>
        <w:rPr>
          <w:i/>
        </w:rPr>
        <w:t xml:space="preserve">volume de vendas mensal</w:t>
      </w:r>
      <w:r>
        <w:t xml:space="preserve">, contabilizado entre</w:t>
      </w:r>
      <w:r>
        <w:t xml:space="preserve"> </w:t>
      </w:r>
      <w:r>
        <w:rPr>
          <w:i/>
        </w:rPr>
        <w:t xml:space="preserve">Janeiro de 2003 e dezembro de 2011</w:t>
      </w:r>
      <w:r>
        <w:t xml:space="preserve">, usando</w:t>
      </w:r>
      <w:r>
        <w:t xml:space="preserve"> </w:t>
      </w:r>
      <w:r>
        <w:rPr>
          <w:i/>
        </w:rPr>
        <w:t xml:space="preserve">índice de base fixa com 2003=100</w:t>
      </w:r>
      <w:r>
        <w:t xml:space="preserve">.</w:t>
      </w:r>
    </w:p>
    <w:p>
      <w:pPr>
        <w:pStyle w:val="BodyText"/>
      </w:pPr>
      <w:r>
        <w:t xml:space="preserve">Para realizar a estimação e posterior previsão pelo método Holt-Winters no R utilizamos a função</w:t>
      </w:r>
      <w:r>
        <w:t xml:space="preserve"> </w:t>
      </w:r>
      <w:r>
        <w:rPr>
          <w:rStyle w:val="VerbatimChar"/>
        </w:rPr>
        <w:t xml:space="preserve">HoltWinters</w:t>
      </w:r>
      <w:r>
        <w:t xml:space="preserve">.</w:t>
      </w:r>
    </w:p>
    <w:p>
      <w:pPr>
        <w:pStyle w:val="BodyText"/>
      </w:pPr>
      <w:r>
        <w:t xml:space="preserve">É importante plotar a série para verificar seu comportamento. No seguinte gráfico se apresenta a série original e a filtrada com o método Holt-Winters, parâmetros iniciais padrâo.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:/BKP_pessoal/GitHub/SER_III/ST/figuras/HW_01_filt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Visualmente nota-se que a série tem uma tendência crescente, com efeito sazonal no final e começo de cada ano.</w:t>
      </w:r>
    </w:p>
    <w:p>
      <w:pPr>
        <w:pStyle w:val="BodyText"/>
      </w:pPr>
      <w:r>
        <w:t xml:space="preserve">A saída da filtragem pelo método inclue os coeficientes calculados, nesse caso a deteção automática de uma série com período igual a 12 (anual), permitiu calcular 14 parâmetros, correspondentes aos coeficientes</w:t>
      </w:r>
      <w:r>
        <w:t xml:space="preserve"> </w:t>
      </w:r>
      <w:r>
        <w:rPr>
          <w:i/>
        </w:rPr>
        <w:t xml:space="preserve">a</w:t>
      </w:r>
      <w:r>
        <w:t xml:space="preserve">,</w:t>
      </w:r>
      <w:r>
        <w:t xml:space="preserve"> </w:t>
      </w:r>
      <w:r>
        <w:rPr>
          <w:i/>
        </w:rPr>
        <w:t xml:space="preserve">b</w:t>
      </w:r>
      <w:r>
        <w:t xml:space="preserve"> </w:t>
      </w:r>
      <w:r>
        <w:t xml:space="preserve">e 12 sazonais</w:t>
      </w:r>
      <w:r>
        <w:t xml:space="preserve"> </w:t>
      </w:r>
      <w:r>
        <w:rPr>
          <w:i/>
        </w:rPr>
        <w:t xml:space="preserve">s1:12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##     Coeficientes calculados</w:t>
      </w:r>
      <w:r>
        <w:br w:type="textWrapping"/>
      </w:r>
      <w:r>
        <w:rPr>
          <w:rStyle w:val="VerbatimChar"/>
        </w:rPr>
        <w:t xml:space="preserve">## a               203.3613437</w:t>
      </w:r>
      <w:r>
        <w:br w:type="textWrapping"/>
      </w:r>
      <w:r>
        <w:rPr>
          <w:rStyle w:val="VerbatimChar"/>
        </w:rPr>
        <w:t xml:space="preserve">## b                 0.9807314</w:t>
      </w:r>
      <w:r>
        <w:br w:type="textWrapping"/>
      </w:r>
      <w:r>
        <w:rPr>
          <w:rStyle w:val="VerbatimChar"/>
        </w:rPr>
        <w:t xml:space="preserve">## s1               -9.7524371</w:t>
      </w:r>
      <w:r>
        <w:br w:type="textWrapping"/>
      </w:r>
      <w:r>
        <w:rPr>
          <w:rStyle w:val="VerbatimChar"/>
        </w:rPr>
        <w:t xml:space="preserve">## s2              -17.0372973</w:t>
      </w:r>
      <w:r>
        <w:br w:type="textWrapping"/>
      </w:r>
      <w:r>
        <w:rPr>
          <w:rStyle w:val="VerbatimChar"/>
        </w:rPr>
        <w:t xml:space="preserve">## s3                3.0986566</w:t>
      </w:r>
      <w:r>
        <w:br w:type="textWrapping"/>
      </w:r>
      <w:r>
        <w:rPr>
          <w:rStyle w:val="VerbatimChar"/>
        </w:rPr>
        <w:t xml:space="preserve">## s4               -7.4797874</w:t>
      </w:r>
      <w:r>
        <w:br w:type="textWrapping"/>
      </w:r>
      <w:r>
        <w:rPr>
          <w:rStyle w:val="VerbatimChar"/>
        </w:rPr>
        <w:t xml:space="preserve">## s5                1.5032852</w:t>
      </w:r>
      <w:r>
        <w:br w:type="textWrapping"/>
      </w:r>
      <w:r>
        <w:rPr>
          <w:rStyle w:val="VerbatimChar"/>
        </w:rPr>
        <w:t xml:space="preserve">## s6               -2.7079181</w:t>
      </w:r>
      <w:r>
        <w:br w:type="textWrapping"/>
      </w:r>
      <w:r>
        <w:rPr>
          <w:rStyle w:val="VerbatimChar"/>
        </w:rPr>
        <w:t xml:space="preserve">## s7               -0.1880830</w:t>
      </w:r>
      <w:r>
        <w:br w:type="textWrapping"/>
      </w:r>
      <w:r>
        <w:rPr>
          <w:rStyle w:val="VerbatimChar"/>
        </w:rPr>
        <w:t xml:space="preserve">## s8                2.3566612</w:t>
      </w:r>
      <w:r>
        <w:br w:type="textWrapping"/>
      </w:r>
      <w:r>
        <w:rPr>
          <w:rStyle w:val="VerbatimChar"/>
        </w:rPr>
        <w:t xml:space="preserve">## s9               -0.9528484</w:t>
      </w:r>
      <w:r>
        <w:br w:type="textWrapping"/>
      </w:r>
      <w:r>
        <w:rPr>
          <w:rStyle w:val="VerbatimChar"/>
        </w:rPr>
        <w:t xml:space="preserve">## s10               0.6443198</w:t>
      </w:r>
      <w:r>
        <w:br w:type="textWrapping"/>
      </w:r>
      <w:r>
        <w:rPr>
          <w:rStyle w:val="VerbatimChar"/>
        </w:rPr>
        <w:t xml:space="preserve">## s11               0.4937713</w:t>
      </w:r>
      <w:r>
        <w:br w:type="textWrapping"/>
      </w:r>
      <w:r>
        <w:rPr>
          <w:rStyle w:val="VerbatimChar"/>
        </w:rPr>
        <w:t xml:space="preserve">## s12              35.9203860</w:t>
      </w:r>
    </w:p>
    <w:p>
      <w:pPr>
        <w:pStyle w:val="FirstParagraph"/>
      </w:pPr>
      <w:r>
        <w:t xml:space="preserve">Se observa os valores maiores nos coeficientes,</w:t>
      </w:r>
      <w:r>
        <w:t xml:space="preserve"> </w:t>
      </w:r>
      <w:r>
        <w:rPr>
          <w:i/>
        </w:rPr>
        <w:t xml:space="preserve">s2</w:t>
      </w:r>
      <w:r>
        <w:t xml:space="preserve"> </w:t>
      </w:r>
      <w:r>
        <w:t xml:space="preserve">e</w:t>
      </w:r>
      <w:r>
        <w:t xml:space="preserve"> </w:t>
      </w:r>
      <w:r>
        <w:rPr>
          <w:i/>
        </w:rPr>
        <w:t xml:space="preserve">s12</w:t>
      </w:r>
      <w:r>
        <w:t xml:space="preserve">, que se correspondem com os meses de fevereiro e dezembro de cada ano e a observação do gráfico anterior.</w:t>
      </w:r>
    </w:p>
    <w:p>
      <w:pPr>
        <w:pStyle w:val="BodyText"/>
      </w:pPr>
      <w:r>
        <w:t xml:space="preserve">Feita a filtragem, a decomposição da série é simples através do elemento</w:t>
      </w:r>
      <w:r>
        <w:t xml:space="preserve"> </w:t>
      </w:r>
      <w:r>
        <w:t xml:space="preserve">“</w:t>
      </w:r>
      <w:r>
        <w:t xml:space="preserve">fitted</w:t>
      </w:r>
      <w:r>
        <w:t xml:space="preserve">”</w:t>
      </w:r>
      <w:r>
        <w:t xml:space="preserve"> </w:t>
      </w:r>
      <w:r>
        <w:t xml:space="preserve">da lista de saída. Esse elemento é uma matriz de 4 colunas contendo respectivamente, os valores ajustados (</w:t>
      </w:r>
      <w:r>
        <w:t xml:space="preserve">“</w:t>
      </w:r>
      <w:r>
        <w:t xml:space="preserve">xhat</w:t>
      </w:r>
      <w:r>
        <w:t xml:space="preserve">”</w:t>
      </w:r>
      <w:r>
        <w:t xml:space="preserve">), o nível (</w:t>
      </w:r>
      <w:r>
        <w:t xml:space="preserve">“</w:t>
      </w:r>
      <w:r>
        <w:t xml:space="preserve">level</w:t>
      </w:r>
      <w:r>
        <w:t xml:space="preserve">”</w:t>
      </w:r>
      <w:r>
        <w:t xml:space="preserve">), a tendência (</w:t>
      </w:r>
      <w:r>
        <w:t xml:space="preserve">“</w:t>
      </w:r>
      <w:r>
        <w:t xml:space="preserve">trend</w:t>
      </w:r>
      <w:r>
        <w:t xml:space="preserve">”</w:t>
      </w:r>
      <w:r>
        <w:t xml:space="preserve">), e a componente sazonal (</w:t>
      </w:r>
      <w:r>
        <w:t xml:space="preserve">“</w:t>
      </w:r>
      <w:r>
        <w:t xml:space="preserve">season</w:t>
      </w:r>
      <w:r>
        <w:t xml:space="preserve">”</w:t>
      </w:r>
      <w:r>
        <w:t xml:space="preserve">).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:/BKP_pessoal/GitHub/SER_III/ST/figuras/02_HW_decompos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Observe que após o ano 2008, o nível apresenta um decrescimento, condicente com a crise econômico desse ano.</w:t>
      </w:r>
    </w:p>
    <w:p>
      <w:pPr>
        <w:pStyle w:val="BodyText"/>
      </w:pPr>
      <w:r>
        <w:t xml:space="preserve">Com um horizonte de previsão de 12 meses, podemos fazer o cálculo dos valores para o ano de 2012, usando um intervalo de confiança de 95%.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:/BKP_pessoal/GitHub/SER_III/ST/figuras/HW_03_predic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 horizonte de previsão calculado é uma matriz de três colunas contendo o valor calculado assim como os limites superior e inferior de confiança ao 95%. Incorporando os valores realmente observados em 2012, e fazendo a diferença entre real e observado temos:</w:t>
      </w:r>
    </w:p>
    <w:p>
      <w:pPr>
        <w:pStyle w:val="SourceCode"/>
      </w:pPr>
      <w:r>
        <w:rPr>
          <w:rStyle w:val="VerbatimChar"/>
        </w:rPr>
        <w:t xml:space="preserve">##       prev    sup    inf   real    dif</w:t>
      </w:r>
      <w:r>
        <w:br w:type="textWrapping"/>
      </w:r>
      <w:r>
        <w:rPr>
          <w:rStyle w:val="VerbatimChar"/>
        </w:rPr>
        <w:t xml:space="preserve">## Jan 194.59 205.62 183.56 194.31  -0.28</w:t>
      </w:r>
      <w:r>
        <w:br w:type="textWrapping"/>
      </w:r>
      <w:r>
        <w:rPr>
          <w:rStyle w:val="VerbatimChar"/>
        </w:rPr>
        <w:t xml:space="preserve">## Fev 188.29 200.07 176.50 181.66  -6.63</w:t>
      </w:r>
      <w:r>
        <w:br w:type="textWrapping"/>
      </w:r>
      <w:r>
        <w:rPr>
          <w:rStyle w:val="VerbatimChar"/>
        </w:rPr>
        <w:t xml:space="preserve">## Mar 209.40 221.90 196.91 207.92  -1.48</w:t>
      </w:r>
      <w:r>
        <w:br w:type="textWrapping"/>
      </w:r>
      <w:r>
        <w:rPr>
          <w:rStyle w:val="VerbatimChar"/>
        </w:rPr>
        <w:t xml:space="preserve">## Abr 199.80 212.97 186.64 190.03  -9.77</w:t>
      </w:r>
      <w:r>
        <w:br w:type="textWrapping"/>
      </w:r>
      <w:r>
        <w:rPr>
          <w:rStyle w:val="VerbatimChar"/>
        </w:rPr>
        <w:t xml:space="preserve">## Mai 209.77 223.57 195.96 206.56  -3.21</w:t>
      </w:r>
      <w:r>
        <w:br w:type="textWrapping"/>
      </w:r>
      <w:r>
        <w:rPr>
          <w:rStyle w:val="VerbatimChar"/>
        </w:rPr>
        <w:t xml:space="preserve">## Jun 206.54 220.95 192.12 212.01   5.47</w:t>
      </w:r>
      <w:r>
        <w:br w:type="textWrapping"/>
      </w:r>
      <w:r>
        <w:rPr>
          <w:rStyle w:val="VerbatimChar"/>
        </w:rPr>
        <w:t xml:space="preserve">## Jul 210.04 225.04 195.04 212.59   2.55</w:t>
      </w:r>
      <w:r>
        <w:br w:type="textWrapping"/>
      </w:r>
      <w:r>
        <w:rPr>
          <w:rStyle w:val="VerbatimChar"/>
        </w:rPr>
        <w:t xml:space="preserve">## Ago 213.56 229.13 198.00 227.95  14.39</w:t>
      </w:r>
      <w:r>
        <w:br w:type="textWrapping"/>
      </w:r>
      <w:r>
        <w:rPr>
          <w:rStyle w:val="VerbatimChar"/>
        </w:rPr>
        <w:t xml:space="preserve">## Set 211.24 227.34 195.13 195.86 -15.38</w:t>
      </w:r>
      <w:r>
        <w:br w:type="textWrapping"/>
      </w:r>
      <w:r>
        <w:rPr>
          <w:rStyle w:val="VerbatimChar"/>
        </w:rPr>
        <w:t xml:space="preserve">## Out 213.81 230.45 197.18 220.76   6.95</w:t>
      </w:r>
      <w:r>
        <w:br w:type="textWrapping"/>
      </w:r>
      <w:r>
        <w:rPr>
          <w:rStyle w:val="VerbatimChar"/>
        </w:rPr>
        <w:t xml:space="preserve">## Nov 214.64 231.79 197.50 214.34  -0.30</w:t>
      </w:r>
      <w:r>
        <w:br w:type="textWrapping"/>
      </w:r>
      <w:r>
        <w:rPr>
          <w:rStyle w:val="VerbatimChar"/>
        </w:rPr>
        <w:t xml:space="preserve">## Dec 251.05 268.69 233.41 257.52   6.47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:/BKP_pessoal/GitHub/SER_III/ST/figuras/HW_04_forecast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O erro da previsão ao final do ano de 2012, em relação ao crescimento do ano foi de -0.02 % e -1.22 em volume.</w:t>
      </w:r>
    </w:p>
    <w:p>
      <w:pPr>
        <w:pStyle w:val="Heading4"/>
      </w:pPr>
      <w:bookmarkStart w:id="29" w:name="conclusoes"/>
      <w:bookmarkEnd w:id="29"/>
      <w:r>
        <w:t xml:space="preserve">Conclusões</w:t>
      </w:r>
    </w:p>
    <w:p>
      <w:pPr>
        <w:numPr>
          <w:numId w:val="1001"/>
          <w:ilvl w:val="0"/>
        </w:numPr>
      </w:pPr>
      <w:r>
        <w:t xml:space="preserve">A série de volume de vendas varejista ampliado para os anos 2003 a 2011 foi decomposta e analisada com o método Holt-Winters com sucesso;</w:t>
      </w:r>
    </w:p>
    <w:p>
      <w:pPr>
        <w:numPr>
          <w:numId w:val="1001"/>
          <w:ilvl w:val="0"/>
        </w:numPr>
      </w:pPr>
      <w:r>
        <w:t xml:space="preserve">Um horizonte de 12 meses, para o ano de 2012 foi calculado, com intervalo de confiança de 95%;</w:t>
      </w:r>
    </w:p>
    <w:p>
      <w:pPr>
        <w:numPr>
          <w:numId w:val="1001"/>
          <w:ilvl w:val="0"/>
        </w:numPr>
      </w:pPr>
      <w:r>
        <w:t xml:space="preserve">Os valores realmente observados ficaram dentro do intervalo de confiança durante todo o horizonte de previsão;</w:t>
      </w:r>
    </w:p>
    <w:p>
      <w:pPr>
        <w:numPr>
          <w:numId w:val="1001"/>
          <w:ilvl w:val="0"/>
        </w:numPr>
      </w:pPr>
      <w:r>
        <w:t xml:space="preserve">A pesar da previsão calculada ter diferenças pontuais nos meses de agosto e setembro com a realidade, o resultado final foi preciso e o erro em relação ao crescimento anual do volume de vendas sumamente baixo.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NOTA: o código completo do análise e os dados encontram-se em</w:t>
      </w:r>
      <w:r>
        <w:t xml:space="preserve"> </w:t>
      </w:r>
      <w:hyperlink r:id="rId30">
        <w:r>
          <w:rPr>
            <w:rStyle w:val="Hyperlink"/>
          </w:rPr>
          <w:t xml:space="preserve">https://github.com/HumbertoSubiza/SER_III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Referências:</w:t>
      </w:r>
    </w:p>
    <w:p>
      <w:pPr>
        <w:pStyle w:val="BodyText"/>
      </w:pPr>
      <w:r>
        <w:t xml:space="preserve">1- C. C. Holt (1957) Forecasting seasonals and trends by exponentially weighted moving averages, ONR Research Memorandum, Carnegie Institute of Technology 52. (reprint at</w:t>
      </w:r>
      <w:r>
        <w:t xml:space="preserve"> </w:t>
      </w:r>
      <w:hyperlink r:id="rId31">
        <w:r>
          <w:rPr>
            <w:rStyle w:val="Hyperlink"/>
          </w:rPr>
          <w:t xml:space="preserve">http://dx.doi.org/10.1016/j.ijforecast.2003.09.015</w:t>
        </w:r>
      </w:hyperlink>
      <w:r>
        <w:t xml:space="preserve">).</w:t>
      </w:r>
    </w:p>
    <w:p>
      <w:pPr>
        <w:pStyle w:val="BodyText"/>
      </w:pPr>
      <w:r>
        <w:t xml:space="preserve">2- P. R. Winters (1960) Forecasting sales by exponentially weighted moving averages, Management Science 6, 324–342.</w:t>
      </w:r>
    </w:p>
    <w:p>
      <w:pPr>
        <w:pStyle w:val="BodyText"/>
      </w:pPr>
      <w:r>
        <w:t xml:space="preserve">3- C. Chatfield (1978) The Holt-Winters Forecasting Procedure</w:t>
      </w:r>
      <w:r>
        <w:t xml:space="preserve"> </w:t>
      </w:r>
      <w:r>
        <w:t xml:space="preserve">Journal of the Royal Statistical Society. Series C (Applied Statistics)</w:t>
      </w:r>
      <w:r>
        <w:t xml:space="preserve"> </w:t>
      </w:r>
      <w:r>
        <w:t xml:space="preserve">Vol. 27, No. 3, pp. 264-279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f36024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28ae3d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hyperlink" Id="rId31" Target="http://dx.doi.org/10.1016/j.ijforecast.2003.09.015" TargetMode="External" /><Relationship Type="http://schemas.openxmlformats.org/officeDocument/2006/relationships/hyperlink" Id="rId24" Target="http://seriesestatisticas.ibge.gov.br/series.aspx?no=2&amp;op=0&amp;vcodigo=MC67&amp;t=volume-vendas-comercio-varejista-ampliado-tipos" TargetMode="External" /><Relationship Type="http://schemas.openxmlformats.org/officeDocument/2006/relationships/hyperlink" Id="rId30" Target="https://github.com/HumbertoSubiza/SER_III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://dx.doi.org/10.1016/j.ijforecast.2003.09.015" TargetMode="External" /><Relationship Type="http://schemas.openxmlformats.org/officeDocument/2006/relationships/hyperlink" Id="rId24" Target="http://seriesestatisticas.ibge.gov.br/series.aspx?no=2&amp;op=0&amp;vcodigo=MC67&amp;t=volume-vendas-comercio-varejista-ampliado-tipos" TargetMode="External" /><Relationship Type="http://schemas.openxmlformats.org/officeDocument/2006/relationships/hyperlink" Id="rId30" Target="https://github.com/HumbertoSubiza/SER_II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Série Temporal com Holt-Winters</dc:title>
  <dc:creator>Walter Humberto Subiza Pina</dc:creator>
  <dcterms:created xsi:type="dcterms:W3CDTF">2018-03-07T19:28:48Z</dcterms:created>
  <dcterms:modified xsi:type="dcterms:W3CDTF">2018-03-07T19:28:48Z</dcterms:modified>
</cp:coreProperties>
</file>