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emf" ContentType="image/x-emf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ind w:left="0" w:right="0" w:firstLine="567"/>
        <w:rPr/>
      </w:pPr>
      <w:r>
        <w:rPr/>
        <w:t xml:space="preserve">Análise de série temporal usando modelos paramétricos e rede neural </w:t>
      </w:r>
    </w:p>
    <w:p>
      <w:pPr>
        <w:pStyle w:val="Normal"/>
        <w:ind w:left="0" w:right="0" w:hanging="0"/>
        <w:jc w:val="left"/>
        <w:rPr/>
      </w:pPr>
      <w:r>
        <w:rPr/>
        <w:t>Walter Humberto Subiza Pina</w:t>
      </w:r>
      <w:r>
        <w:rPr>
          <w:rStyle w:val="Ncoradanotaderodap"/>
        </w:rPr>
        <w:footnoteReference w:id="2"/>
      </w:r>
    </w:p>
    <w:p>
      <w:pPr>
        <w:pStyle w:val="Normal"/>
        <w:ind w:left="0" w:right="0" w:hanging="0"/>
        <w:jc w:val="left"/>
        <w:rPr/>
      </w:pPr>
      <w:r>
        <w:rPr/>
        <w:t>Pedro Guilherme Costa Ferreira</w:t>
      </w:r>
      <w:r>
        <w:rPr>
          <w:rStyle w:val="Ncoradanotaderodap"/>
        </w:rPr>
        <w:footnoteReference w:id="3"/>
      </w:r>
    </w:p>
    <w:p>
      <w:pPr>
        <w:pStyle w:val="Normal"/>
        <w:ind w:left="0" w:right="0" w:hanging="0"/>
        <w:jc w:val="left"/>
        <w:rPr/>
      </w:pPr>
      <w:r>
        <w:rPr/>
        <w:t>José Francisco Pessanha</w:t>
      </w:r>
      <w:r>
        <w:rPr>
          <w:rStyle w:val="Ncoradanotaderodap"/>
        </w:rPr>
        <w:footnoteReference w:id="4"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</w:t>
      </w:r>
    </w:p>
    <w:p>
      <w:pPr>
        <w:pStyle w:val="NoSpacing"/>
        <w:rPr/>
      </w:pPr>
      <w:r>
        <w:rPr/>
        <w:t xml:space="preserve">Apresenta-se a análise de uma série temporal de economia univariada, por meio dos modelos SARIMA, HOLT-WINTERS e com modelo de Rede Neural de aprendizado de máquina. A série com valores mensais e comprimento de 8 anos, pertence ao IBGE e contém o volume de vendas ao comércio varejista ampliado (VCVA). Foi feita uma previsão de volume 12 meses à frente com cada metodologia e os resultados comparados com o volume real registrado. 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</w:rPr>
        <w:t xml:space="preserve">Palavras-chave: </w:t>
      </w:r>
      <w:r>
        <w:rPr>
          <w:b w:val="false"/>
          <w:bCs w:val="false"/>
        </w:rPr>
        <w:t>s</w:t>
      </w:r>
      <w:r>
        <w:rPr>
          <w:rFonts w:eastAsia="Calibri"/>
          <w:b w:val="false"/>
          <w:bCs w:val="false"/>
          <w:color w:val="00000A"/>
          <w:sz w:val="22"/>
          <w:szCs w:val="22"/>
          <w:lang w:val="pt-BR" w:eastAsia="en-US" w:bidi="ar-SA"/>
        </w:rPr>
        <w:t>erie temporal</w:t>
      </w:r>
      <w:r>
        <w:rPr/>
        <w:t>, sarima,</w:t>
      </w:r>
      <w:bookmarkStart w:id="2" w:name="__DdeLink__201_3894236283"/>
      <w:r>
        <w:rPr/>
        <w:t xml:space="preserve"> Holt-Winters, rede neural</w:t>
      </w:r>
      <w:bookmarkEnd w:id="2"/>
      <w:r>
        <w:rPr/>
        <w:t xml:space="preserve">, IBGE. </w:t>
      </w:r>
    </w:p>
    <w:p>
      <w:pPr>
        <w:pStyle w:val="Normal"/>
        <w:jc w:val="center"/>
        <w:rPr>
          <w:b/>
          <w:b/>
          <w:lang w:val="en-US" w:eastAsia="en-US" w:bidi="ar-SA"/>
        </w:rPr>
      </w:pPr>
      <w:r>
        <w:rPr>
          <w:b/>
          <w:lang w:val="en-US" w:eastAsia="en-US" w:bidi="ar-SA"/>
        </w:rPr>
        <w:t>Abstract</w:t>
      </w:r>
    </w:p>
    <w:p>
      <w:pPr>
        <w:pStyle w:val="NoSpacing"/>
        <w:jc w:val="both"/>
        <w:rPr/>
      </w:pPr>
      <w:r>
        <w:rPr>
          <w:lang w:val="en-US" w:eastAsia="en-US" w:bidi="ar-SA"/>
        </w:rPr>
        <w:t xml:space="preserve">An analysis of a uni-variate time series was made, using SARIMA and HOLT-WINTERS models as well as Neural Network. The time series from the IBGE, contain monthly values over an 8 year period of the volume of </w:t>
      </w:r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increased retail sales</w:t>
      </w:r>
      <w:r>
        <w:rPr>
          <w:rFonts w:eastAsia="Calibri"/>
          <w:color w:val="00000A"/>
          <w:sz w:val="22"/>
          <w:szCs w:val="22"/>
          <w:lang w:val="en-US" w:eastAsia="en-US" w:bidi="ar-SA"/>
        </w:rPr>
        <w:t xml:space="preserve"> (VCVA). </w:t>
      </w:r>
      <w:bookmarkStart w:id="3" w:name="tw-target-text"/>
      <w:bookmarkEnd w:id="3"/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A volume forecast was made 12 months ahead with each methodology and the results compared to the actual volume recorded.</w:t>
      </w:r>
    </w:p>
    <w:p>
      <w:pPr>
        <w:pStyle w:val="NoSpacing"/>
        <w:jc w:val="both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ind w:left="0" w:right="0" w:hanging="0"/>
        <w:rPr/>
      </w:pPr>
      <w:r>
        <w:rPr>
          <w:b/>
          <w:lang w:val="en-US" w:eastAsia="en-US" w:bidi="ar-SA"/>
        </w:rPr>
        <w:t xml:space="preserve">Keywords: </w:t>
      </w:r>
      <w:r>
        <w:rPr>
          <w:b w:val="false"/>
          <w:bCs w:val="false"/>
          <w:lang w:val="en-US" w:eastAsia="en-US" w:bidi="ar-SA"/>
        </w:rPr>
        <w:t>Time series, sarima,  Holt-Winters, neural network</w:t>
      </w:r>
      <w:r>
        <w:rPr>
          <w:b w:val="false"/>
          <w:bCs w:val="false"/>
        </w:rPr>
        <w:t>.</w:t>
      </w:r>
    </w:p>
    <w:p>
      <w:pPr>
        <w:pStyle w:val="Ttulo2"/>
        <w:ind w:left="0" w:right="0" w:firstLine="567"/>
        <w:rPr/>
      </w:pPr>
      <w:r>
        <w:rPr/>
        <w:t>1- Introdução</w:t>
      </w:r>
    </w:p>
    <w:p>
      <w:pPr>
        <w:pStyle w:val="Normal"/>
        <w:rPr/>
      </w:pPr>
      <w:r>
        <w:rPr/>
        <w:t>Séries temporais, importância,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2- Objetivo</w:t>
      </w:r>
    </w:p>
    <w:p>
      <w:pPr>
        <w:pStyle w:val="Normal"/>
        <w:spacing w:before="0" w:after="0"/>
        <w:rPr/>
      </w:pPr>
      <w:r>
        <w:rPr/>
        <w:t>È feita uma comparação de três metodologias diferentes de análise para uma série temporal de variável econômica, apresentando brevemente a fundamentação teórica de cada uma.</w:t>
      </w:r>
    </w:p>
    <w:p>
      <w:pPr>
        <w:pStyle w:val="Ttulo2"/>
        <w:ind w:left="0" w:right="0" w:firstLine="567"/>
        <w:rPr/>
      </w:pPr>
      <w:r>
        <w:rPr/>
        <w:t>3- Material e Método</w:t>
      </w:r>
    </w:p>
    <w:p>
      <w:pPr>
        <w:pStyle w:val="Normal"/>
        <w:spacing w:before="0" w:after="0"/>
        <w:rPr/>
      </w:pPr>
      <w:r>
        <w:rPr/>
        <w:t>3.1 Apresentação</w:t>
      </w:r>
    </w:p>
    <w:p>
      <w:pPr>
        <w:pStyle w:val="Normal"/>
        <w:spacing w:before="0" w:after="0"/>
        <w:rPr/>
      </w:pPr>
      <w:r>
        <w:rPr/>
        <w:t>A série temporal a ser analisada pertence ao IBGE e tem dados sobre o volume de vendas do comércio varejista ampliado (VVCVA) entre Janeiro de 2003 e Dezembro de 2011 com Índice de base fixa 2003 = 100. A série inclui além do comércio varejista, os setores de “Veículos, motocicletas, partes e peças” e “Material de construção” sendo extraída em Janeiro de 2018 (Figura 1).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55495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Vendas Comércio Varejista Ampliado (VVCVA) – 2003-2011</w:t>
      </w:r>
    </w:p>
    <w:p>
      <w:pPr>
        <w:pStyle w:val="Normal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Normal"/>
        <w:spacing w:before="0" w:after="0"/>
        <w:rPr/>
      </w:pPr>
      <w:r>
        <w:rPr/>
        <w:t xml:space="preserve">A série apresenta uma </w:t>
      </w:r>
      <w:r>
        <w:rPr>
          <w:i/>
          <w:iCs/>
        </w:rPr>
        <w:t>tendência</w:t>
      </w:r>
      <w:r>
        <w:rPr/>
        <w:t xml:space="preserve"> crescente ao longo dos anos, coerente coma teoria econômica, assim como um pequeno aumento da </w:t>
      </w:r>
      <w:r>
        <w:rPr>
          <w:i/>
          <w:iCs/>
        </w:rPr>
        <w:t>variância</w:t>
      </w:r>
      <w:r>
        <w:rPr/>
        <w:t xml:space="preserve"> em alguns anos.</w:t>
      </w:r>
    </w:p>
    <w:p>
      <w:pPr>
        <w:pStyle w:val="Normal"/>
        <w:spacing w:before="0" w:after="0"/>
        <w:rPr/>
      </w:pPr>
      <w:r>
        <w:rPr/>
        <w:t xml:space="preserve">Nota-se uma variação </w:t>
      </w:r>
      <w:r>
        <w:rPr>
          <w:i/>
          <w:iCs/>
        </w:rPr>
        <w:t>sazonal</w:t>
      </w:r>
      <w:r>
        <w:rPr/>
        <w:t xml:space="preserve"> no fim e começo de cada ano muito semelhante até o ano de 2008, o que parece coincidir com a crise financeira de 2008, após o qual a sazonalidade continua evidente. A Figura 2 gerada com a função </w:t>
      </w:r>
      <w:r>
        <w:rPr>
          <w:i/>
          <w:iCs/>
        </w:rPr>
        <w:t>stats::monthplot</w:t>
      </w:r>
      <w:r>
        <w:rPr>
          <w:i w:val="false"/>
          <w:iCs w:val="false"/>
        </w:rPr>
        <w:t>, revela com mais clareza a variação sazonal, com valores extremos nos meses de fevereiro e dezembro assim como a tendência de crescimento.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86360</wp:posOffset>
            </wp:positionV>
            <wp:extent cx="2879725" cy="1727835"/>
            <wp:effectExtent l="0" t="0" r="0" b="0"/>
            <wp:wrapSquare wrapText="largest"/>
            <wp:docPr id="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7" t="9858" r="4853" b="9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7278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Normal"/>
        <w:spacing w:before="0" w:after="0"/>
        <w:rPr/>
      </w:pPr>
      <w:r>
        <w:rPr/>
        <w:t xml:space="preserve">A identificação das características mencionadas, se ajusta a um modelo de decomposição aditivo em que a série é a soma de uma componente de tendência, mais uma componente sazonal mais um residual que, idealmente, deveria ser ruido branco (não tendo contaminação das componentes anteriores. A função </w:t>
      </w:r>
      <w:r>
        <w:rPr>
          <w:i/>
          <w:iCs/>
        </w:rPr>
        <w:t xml:space="preserve">stats::decompose </w:t>
      </w:r>
      <w:r>
        <w:rPr>
          <w:i w:val="false"/>
          <w:iCs w:val="false"/>
        </w:rPr>
        <w:t>realiza a decomposição mencionada (Figura 3).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55495"/>
            <wp:effectExtent l="0" t="0" r="0" b="0"/>
            <wp:wrapSquare wrapText="largest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bookmarkStart w:id="4" w:name="__DdeLink__399_1272726679"/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bookmarkEnd w:id="4"/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3.2 Modelo SARIMA</w:t>
      </w:r>
    </w:p>
    <w:p>
      <w:pPr>
        <w:pStyle w:val="Normal"/>
        <w:spacing w:before="0" w:after="0"/>
        <w:rPr/>
      </w:pPr>
      <w:r>
        <w:rPr/>
        <w:t xml:space="preserve">Consiste numa modelagem sofisticada que envolve processos de autoregressão (AR) e médias móveis (MA) e que costumam dar bons resultados em séries longas e bem-comportadas. Acorde ao proposto por Box e Jenkins para a modelagem de séries temporais estacionárias, o processo segue um ciclo interativo de 4 partes: </w:t>
      </w:r>
      <w:r>
        <w:rPr>
          <w:b/>
          <w:bCs/>
        </w:rPr>
        <w:t>especificação, estimação,  diagnóstico e modelo final</w:t>
      </w:r>
      <w:r>
        <w:rPr/>
        <w:t xml:space="preserve">. </w:t>
      </w:r>
      <w:r>
        <w:rPr/>
        <w:t xml:space="preserve">Como condição necessária para o tratamento da série com esta metodologia, devemos garantir que a média e a variância sejam estacionárias. </w:t>
      </w:r>
      <w:r>
        <w:rPr/>
        <w:t>Com o modelo final podemos fazer a predição de valores futuros. Na análise da série, além de funções base do R, foram usadas funções específicas do pacote BETS (Brazilian Economics Time Series).</w:t>
      </w:r>
    </w:p>
    <w:p>
      <w:pPr>
        <w:pStyle w:val="Normal"/>
        <w:spacing w:before="0" w:after="0"/>
        <w:rPr/>
      </w:pPr>
      <w:r>
        <w:rPr/>
        <w:t xml:space="preserve">A estacionalidade da série é testada através da função </w:t>
      </w:r>
      <w:r>
        <w:rPr>
          <w:i/>
          <w:iCs/>
        </w:rPr>
        <w:t>BETS.corrgram</w:t>
      </w:r>
      <w:r>
        <w:rPr>
          <w:i w:val="false"/>
          <w:iCs w:val="false"/>
        </w:rPr>
        <w:t xml:space="preserve">. No caso da série não ser estacionária, o número de diferenciações necessárias é determinado por um teste de raiz unitária (RU). Um dos mais usados e o teste de Dickey-Fuller Aumentado,  conhecido na literatura como teste ADF(Augmented Dickey-Fuller) e implementado na função </w:t>
      </w:r>
      <w:r>
        <w:rPr>
          <w:i/>
          <w:iCs/>
        </w:rPr>
        <w:t xml:space="preserve">urca::ur.df. </w:t>
      </w:r>
      <w:r>
        <w:rPr>
          <w:i w:val="false"/>
          <w:iCs w:val="false"/>
        </w:rPr>
        <w:t>A hipótese H0 é que a série possui uma RU e assim sendo é estacionária.</w:t>
      </w:r>
    </w:p>
    <w:p>
      <w:pPr>
        <w:pStyle w:val="Normal"/>
        <w:spacing w:before="0" w:after="0"/>
        <w:rPr/>
      </w:pPr>
      <w:r>
        <w:rPr>
          <w:i w:val="false"/>
          <w:iCs w:val="false"/>
        </w:rPr>
        <w:t xml:space="preserve">Uma vez determinado o número de diferenciações necessária, a série é estacionada e o incremento da variância pode ser retirado com a função </w:t>
      </w:r>
      <w:r>
        <w:rPr>
          <w:i/>
          <w:iCs/>
        </w:rPr>
        <w:t>log().</w:t>
      </w:r>
      <w:r>
        <w:rPr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i w:val="false"/>
          <w:iCs w:val="false"/>
        </w:rPr>
        <w:t>No caso da sazonalidade a série é diferenciada com período de 12 e o teste de RU refeito para comprovar que a série resultante é estacionária.</w:t>
      </w:r>
    </w:p>
    <w:p>
      <w:pPr>
        <w:pStyle w:val="Normal"/>
        <w:spacing w:before="0" w:after="0"/>
        <w:rPr/>
      </w:pPr>
      <w:r>
        <w:rPr/>
        <w:t xml:space="preserve">Na </w:t>
      </w:r>
      <w:r>
        <w:rPr>
          <w:b/>
          <w:bCs/>
        </w:rPr>
        <w:t>especificação</w:t>
      </w:r>
      <w:r>
        <w:rPr/>
        <w:t xml:space="preserve">, é feita uma análise para determinar a classe de estrutura SARIMA que melhor se adapta, usando funções de autocorrelação e autocorrelação parcial. Assim os valores de </w:t>
      </w:r>
      <w:r>
        <w:rPr>
          <w:i/>
          <w:iCs/>
        </w:rPr>
        <w:t xml:space="preserve">p, q, P </w:t>
      </w:r>
      <w:r>
        <w:rPr>
          <w:i w:val="false"/>
          <w:iCs w:val="false"/>
        </w:rPr>
        <w:t xml:space="preserve">e </w:t>
      </w:r>
      <w:r>
        <w:rPr>
          <w:i/>
          <w:iCs/>
        </w:rPr>
        <w:t>Q</w:t>
      </w:r>
      <w:r>
        <w:rPr>
          <w:i w:val="false"/>
          <w:iCs w:val="false"/>
        </w:rPr>
        <w:t xml:space="preserve"> são definidos. Pode-se determinar mais de um modelo.</w:t>
      </w:r>
    </w:p>
    <w:p>
      <w:pPr>
        <w:pStyle w:val="Normal"/>
        <w:spacing w:before="0" w:after="0"/>
        <w:rPr>
          <w:rFonts w:ascii="Arial" w:hAnsi="Arial"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Quando o período de uma série é </w:t>
      </w:r>
      <w:r>
        <w:rPr>
          <w:rFonts w:eastAsia="Calibri" w:cs="Tahoma"/>
          <w:i/>
          <w:iCs/>
          <w:color w:val="00000A"/>
          <w:sz w:val="22"/>
          <w:szCs w:val="22"/>
          <w:lang w:val="pt-BR" w:eastAsia="en-US" w:bidi="ar-SA"/>
        </w:rPr>
        <w:t>s=12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, o modelo denominado SARIMA de ordem (</w:t>
      </w:r>
      <w:r>
        <w:rPr>
          <w:rFonts w:eastAsia="Calibri" w:cs="Tahoma"/>
          <w:i/>
          <w:iCs/>
          <w:color w:val="00000A"/>
          <w:sz w:val="22"/>
          <w:szCs w:val="22"/>
          <w:lang w:val="pt-BR" w:eastAsia="en-US" w:bidi="ar-SA"/>
        </w:rPr>
        <w:t>p, d, q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) × (</w:t>
      </w:r>
      <w:r>
        <w:rPr>
          <w:rFonts w:eastAsia="Calibri" w:cs="Tahoma"/>
          <w:i/>
          <w:iCs/>
          <w:color w:val="00000A"/>
          <w:sz w:val="22"/>
          <w:szCs w:val="22"/>
          <w:lang w:val="pt-BR" w:eastAsia="en-US" w:bidi="ar-SA"/>
        </w:rPr>
        <w:t>P, D, Q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)</w:t>
      </w:r>
      <w:r>
        <w:rPr>
          <w:rFonts w:eastAsia="Calibri" w:cs="Tahoma"/>
          <w:i/>
          <w:iCs/>
          <w:color w:val="00000A"/>
          <w:sz w:val="22"/>
          <w:szCs w:val="22"/>
          <w:vertAlign w:val="subscript"/>
          <w:lang w:val="pt-BR" w:eastAsia="en-US" w:bidi="ar-SA"/>
        </w:rPr>
        <w:t>12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, é dado por (MORETTIN &amp; TOLOI, 2004):</w:t>
      </w:r>
    </w:p>
    <w:p>
      <w:pPr>
        <w:pStyle w:val="Normal"/>
        <w:spacing w:before="0" w:after="0"/>
        <w:rPr>
          <w:rFonts w:ascii="Arial" w:hAnsi="Arial"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e>
        </m:d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∆</m:t>
            </m:r>
          </m:e>
          <m:sup>
            <m:r>
              <w:rPr>
                <w:rFonts w:ascii="Cambria Math" w:hAnsi="Cambria Math"/>
              </w:rPr>
              <m:t xml:space="preserve">d</m:t>
            </m:r>
          </m:sup>
        </m:sSup>
        <m:r>
          <m:t xml:space="preserve"> </m:t>
        </m:r>
        <m:sSubSup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  <m:sup>
            <m:r>
              <w:rPr>
                <w:rFonts w:ascii="Cambria Math" w:hAnsi="Cambria Math"/>
              </w:rPr>
              <m:t xml:space="preserve">D</m:t>
            </m:r>
          </m:sup>
        </m:sSubSup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</w:p>
    <w:p>
      <w:pPr>
        <w:pStyle w:val="Normal"/>
        <w:spacing w:before="0" w:after="0"/>
        <w:ind w:left="0" w:right="0" w:hanging="0"/>
        <w:rPr>
          <w:rFonts w:ascii="Arial" w:hAnsi="Arial"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em que 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é o operador autorregressivo (</w:t>
      </w:r>
      <w:r>
        <w:rPr>
          <w:rFonts w:eastAsia="Calibri" w:cs="Tahoma"/>
          <w:b/>
          <w:bCs/>
          <w:i w:val="false"/>
          <w:iCs w:val="false"/>
          <w:color w:val="00000A"/>
          <w:sz w:val="22"/>
          <w:szCs w:val="22"/>
          <w:lang w:val="pt-BR" w:eastAsia="en-US" w:bidi="ar-SA"/>
        </w:rPr>
        <w:t>AR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) de ordem </w:t>
      </w:r>
      <w:r>
        <w:rPr>
          <w:rFonts w:eastAsia="Calibri" w:cs="Tahoma"/>
          <w:i/>
          <w:iCs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,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é o operador médias móveis (</w:t>
      </w:r>
      <w:r>
        <w:rPr>
          <w:rFonts w:eastAsia="Calibri" w:cs="Tahoma"/>
          <w:b/>
          <w:bCs/>
          <w:i w:val="false"/>
          <w:iCs w:val="false"/>
          <w:color w:val="00000A"/>
          <w:sz w:val="22"/>
          <w:szCs w:val="22"/>
          <w:lang w:val="pt-BR" w:eastAsia="en-US" w:bidi="ar-SA"/>
        </w:rPr>
        <w:t>MA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) de ordem </w:t>
      </w:r>
      <w:r>
        <w:rPr>
          <w:rFonts w:eastAsia="Calibri" w:cs="Tahoma"/>
          <w:i/>
          <w:iCs/>
          <w:color w:val="00000A"/>
          <w:sz w:val="22"/>
          <w:szCs w:val="22"/>
          <w:lang w:val="pt-BR" w:eastAsia="en-US" w:bidi="ar-SA"/>
        </w:rPr>
        <w:t>q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,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é o operador </w:t>
      </w:r>
      <w:r>
        <w:rPr>
          <w:rFonts w:eastAsia="Calibri" w:cs="Tahoma"/>
          <w:b/>
          <w:bCs/>
          <w:i w:val="false"/>
          <w:iCs w:val="false"/>
          <w:color w:val="00000A"/>
          <w:sz w:val="22"/>
          <w:szCs w:val="22"/>
          <w:lang w:val="pt-BR" w:eastAsia="en-US" w:bidi="ar-SA"/>
        </w:rPr>
        <w:t>AR</w:t>
      </w:r>
      <w:r>
        <w:rPr>
          <w:rFonts w:eastAsia="Calibri" w:cs="Tahoma"/>
          <w:b w:val="false"/>
          <w:bCs/>
          <w:i/>
          <w:iCs w:val="false"/>
          <w:color w:val="00000A"/>
          <w:sz w:val="28"/>
          <w:szCs w:val="22"/>
          <w:vertAlign w:val="subscript"/>
          <w:lang w:val="pt-BR" w:eastAsia="en-US" w:bidi="ar-SA"/>
        </w:rPr>
        <w:t>sazonal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de ordem </w:t>
      </w:r>
      <w:r>
        <w:rPr>
          <w:rFonts w:eastAsia="Calibri" w:cs="Tahoma"/>
          <w:i/>
          <w:iCs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,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é o operador </w:t>
      </w:r>
      <w:r>
        <w:rPr>
          <w:rFonts w:eastAsia="Calibri" w:cs="Tahoma"/>
          <w:b/>
          <w:bCs/>
          <w:i w:val="false"/>
          <w:iCs w:val="false"/>
          <w:color w:val="00000A"/>
          <w:sz w:val="22"/>
          <w:szCs w:val="22"/>
          <w:lang w:val="pt-BR" w:eastAsia="en-US" w:bidi="ar-SA"/>
        </w:rPr>
        <w:t>MA</w:t>
      </w:r>
      <w:r>
        <w:rPr>
          <w:rFonts w:eastAsia="Calibri" w:cs="Tahoma"/>
          <w:b w:val="false"/>
          <w:bCs/>
          <w:i/>
          <w:iCs w:val="false"/>
          <w:color w:val="00000A"/>
          <w:sz w:val="28"/>
          <w:szCs w:val="22"/>
          <w:vertAlign w:val="subscript"/>
          <w:lang w:val="pt-BR" w:eastAsia="en-US" w:bidi="ar-SA"/>
        </w:rPr>
        <w:t>sazonal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de ordem </w:t>
      </w:r>
      <w:r>
        <w:rPr>
          <w:rFonts w:eastAsia="Calibri" w:cs="Tahoma"/>
          <w:i/>
          <w:iCs/>
          <w:color w:val="00000A"/>
          <w:sz w:val="22"/>
          <w:szCs w:val="22"/>
          <w:lang w:val="pt-BR" w:eastAsia="en-US" w:bidi="ar-SA"/>
        </w:rPr>
        <w:t>Q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,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∆</m:t>
            </m:r>
          </m:e>
          <m:sup>
            <m:r>
              <w:rPr>
                <w:rFonts w:ascii="Cambria Math" w:hAnsi="Cambria Math"/>
              </w:rPr>
              <m:t xml:space="preserve">d</m:t>
            </m:r>
          </m:sup>
        </m:sSup>
      </m:oMath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é o operador diferença,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  <m:sup>
            <m:r>
              <w:rPr>
                <w:rFonts w:ascii="Cambria Math" w:hAnsi="Cambria Math"/>
              </w:rPr>
              <m:t xml:space="preserve">d</m:t>
            </m:r>
          </m:sup>
        </m:sSubSup>
      </m:oMath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é o operador diferença sazonal e</w:t>
      </w:r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cs="Tahoma"/>
          <w:i w:val="false"/>
          <w:iCs w:val="false"/>
          <w:color w:val="00000A"/>
          <w:sz w:val="22"/>
          <w:szCs w:val="22"/>
          <w:lang w:val="pt-BR" w:eastAsia="en-US" w:bidi="ar-SA"/>
        </w:rPr>
        <w:t>é ruído branco.</w:t>
      </w:r>
    </w:p>
    <w:p>
      <w:pPr>
        <w:pStyle w:val="Normal"/>
        <w:spacing w:before="0" w:after="0"/>
        <w:rPr/>
      </w:pPr>
      <w:r>
        <w:rPr/>
        <w:t xml:space="preserve">Na etapa de </w:t>
      </w:r>
      <w:r>
        <w:rPr>
          <w:b/>
          <w:bCs/>
        </w:rPr>
        <w:t>estimação</w:t>
      </w:r>
      <w:r>
        <w:rPr/>
        <w:t xml:space="preserve">, os parâmetros definidos são calculados e testados estatisticamente para validar sua significância. A função </w:t>
      </w:r>
      <w:r>
        <w:rPr>
          <w:i/>
          <w:iCs/>
        </w:rPr>
        <w:t xml:space="preserve">forecast::auto.arima, </w:t>
      </w:r>
      <w:r>
        <w:rPr>
          <w:i w:val="false"/>
          <w:iCs w:val="false"/>
        </w:rPr>
        <w:t>calcula automáticamente o melhor modelo acorde critérios  AIC e BIC. Também pode ser usada a função f</w:t>
      </w:r>
      <w:r>
        <w:rPr>
          <w:i/>
          <w:iCs/>
        </w:rPr>
        <w:t>orecast::Arima.</w:t>
      </w:r>
      <w:r>
        <w:rPr>
          <w:i w:val="false"/>
          <w:iCs w:val="false"/>
        </w:rPr>
        <w:t xml:space="preserve"> Para rápida verificação da significância, a função </w:t>
      </w:r>
      <w:r>
        <w:rPr>
          <w:i/>
          <w:iCs/>
        </w:rPr>
        <w:t>BETS::t_test</w:t>
      </w:r>
      <w:r>
        <w:rPr>
          <w:i w:val="false"/>
          <w:iCs w:val="false"/>
        </w:rPr>
        <w:t xml:space="preserve"> proporciona valores para cada coeficiente e analisa os critérios de rejeição das hipóteses.</w:t>
      </w:r>
    </w:p>
    <w:p>
      <w:pPr>
        <w:pStyle w:val="Normal"/>
        <w:spacing w:before="0" w:after="0"/>
        <w:rPr/>
      </w:pPr>
      <w:r>
        <w:rPr/>
        <w:t xml:space="preserve">No </w:t>
      </w:r>
      <w:r>
        <w:rPr>
          <w:b/>
          <w:bCs/>
        </w:rPr>
        <w:t>diagnóstico</w:t>
      </w:r>
      <w:r>
        <w:rPr/>
        <w:t xml:space="preserve"> é feito uma análise dos resíduos e testes de verificação como o de </w:t>
      </w:r>
      <w:bookmarkStart w:id="5" w:name="__DdeLink__641_2971074932"/>
      <w:r>
        <w:rPr/>
        <w:t>Ljung-Box</w:t>
      </w:r>
      <w:bookmarkEnd w:id="5"/>
      <w:r>
        <w:rPr/>
        <w:t xml:space="preserve"> para conferir se o modelo é adequado. Novamente critérios AIC e BIC são usados na verificação para comprovar que os resíduos têm ausência de autocorrelação linear (</w:t>
      </w:r>
      <w:r>
        <w:rPr>
          <w:i/>
          <w:iCs/>
        </w:rPr>
        <w:t>stats::Box.test</w:t>
      </w:r>
      <w:r>
        <w:rPr/>
        <w:t xml:space="preserve">) e heterocedasticidade (ARCH ML ou teste Multiplicador de Lagrange para heterocedasticidade condicional regressiva, </w:t>
      </w:r>
      <w:r>
        <w:rPr>
          <w:i/>
          <w:iCs/>
        </w:rPr>
        <w:t>FinTS::ArchTest</w:t>
      </w:r>
      <w:r>
        <w:rPr/>
        <w:t>), assim como seguem uma distribuição do tipo normal (</w:t>
      </w:r>
      <w:r>
        <w:rPr>
          <w:i/>
          <w:iCs/>
        </w:rPr>
        <w:t>normtest::jb.norm.test)</w:t>
      </w:r>
      <w:r>
        <w:rPr/>
        <w:t xml:space="preserve">. No caso de séries de curto cumprimento,  o teste de normalidade pode não ser conclusivo, pelo que um teste de Lillierfors é mais adequado. A função </w:t>
      </w:r>
      <w:r>
        <w:rPr>
          <w:i/>
          <w:iCs/>
        </w:rPr>
        <w:t>nortest::lillie.test</w:t>
      </w:r>
      <w:r>
        <w:rPr/>
        <w:t xml:space="preserve">, permite testar a normalidade para séries temporais pequenas. </w:t>
      </w:r>
    </w:p>
    <w:p>
      <w:pPr>
        <w:pStyle w:val="Normal"/>
        <w:spacing w:before="0" w:after="0"/>
        <w:rPr/>
      </w:pPr>
      <w:r>
        <w:rPr/>
        <w:t xml:space="preserve">O </w:t>
      </w:r>
      <w:r>
        <w:rPr>
          <w:b/>
          <w:bCs/>
        </w:rPr>
        <w:t>modelo final</w:t>
      </w:r>
      <w:r>
        <w:rPr/>
        <w:t xml:space="preserve"> é escolhido, se temos mais de um os valores de RMSE e MAPE ajudam a determinar o mais adequado para a modelagem da série. A previsão de novos valores é feita com </w:t>
      </w:r>
      <w:r>
        <w:rPr>
          <w:i/>
          <w:iCs/>
        </w:rPr>
        <w:t>forecast::forecast</w:t>
      </w:r>
      <w:r>
        <w:rPr>
          <w:i w:val="false"/>
          <w:iCs w:val="false"/>
        </w:rPr>
        <w:t>, especificando o horizonte de previsão e o nível de confiança desejado.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3.3 Modelo Holt-Winters </w:t>
      </w:r>
    </w:p>
    <w:p>
      <w:pPr>
        <w:pStyle w:val="Normal"/>
        <w:spacing w:before="0" w:after="0"/>
        <w:rPr/>
      </w:pPr>
      <w:r>
        <w:rPr/>
        <w:t>O método Holt-Winters, usa médias móveis com ponderação exponencial para efetuar uma estimação das médias ajustadas por sazonalidade (ou nível), inclinação da série e sazonalidade, sendo muito usado pelo seu baixo custo computacional.</w:t>
      </w:r>
    </w:p>
    <w:p>
      <w:pPr>
        <w:pStyle w:val="Normal"/>
        <w:spacing w:before="0" w:after="0"/>
        <w:rPr/>
      </w:pPr>
      <w:r>
        <w:rPr/>
        <w:t>A variação sazonal pode ser modelada de duas formas: tipo multiplicativo (se a sazonalidade é alterada pelo nível da série) ou aditivo (o padrão sazonal não se altera).</w:t>
      </w:r>
    </w:p>
    <w:p>
      <w:pPr>
        <w:pStyle w:val="Normal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A função de predição de Holt-Winters, para séries temporais de período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em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h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períodos a frente após a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>, observação é dada da seguinte forma:</w:t>
      </w:r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onde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são os parâmetros de nível, tendência e sazonalidade da série, expressos por:</w:t>
      </w:r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e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implementação do método no R é a través da função </w:t>
      </w:r>
      <w:r>
        <w:rPr>
          <w:rFonts w:eastAsia="Calibri"/>
          <w:b w:val="false"/>
          <w:bCs w:val="false"/>
          <w:i/>
          <w:iCs/>
          <w:color w:val="00000A"/>
          <w:sz w:val="22"/>
          <w:szCs w:val="22"/>
          <w:lang w:val="pt-BR" w:eastAsia="en-US" w:bidi="ar-SA"/>
        </w:rPr>
        <w:t>stats::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HoltWinters,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que calcula os coeficientes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a, b,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e gera um objeto S3 da clase “HoltWinters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.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No caso de série anual, como o que vai ser analisado, o total de coeficientes é 14, correspondendo 12 deles a coeficientes sazonais.</w:t>
      </w:r>
    </w:p>
    <w:p>
      <w:pPr>
        <w:pStyle w:val="Normal"/>
        <w:spacing w:before="0" w:after="0"/>
        <w:rPr/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O gráfico do objeto pode ser feito com a simples função base plot() , a qual apresenta em 4 janelas separadas os valores ajustados (“xhat”), o nível (“level”), a tendência (“trend”), e a componente sazonal (“season”). Feita a decomposição e calculados os coeficientes, a função genérica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stats::predict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permite estimar valores à frente, sendo que além do intervalo  de tempo podemos solicitar um intervalo de confiança.</w:t>
      </w:r>
    </w:p>
    <w:p>
      <w:pPr>
        <w:pStyle w:val="Normal"/>
        <w:spacing w:before="0" w:after="0"/>
        <w:rPr>
          <w:rFonts w:ascii="Arial" w:hAnsi="Arial" w:eastAsia="Calibri"/>
          <w:i w:val="false"/>
          <w:i w:val="false"/>
          <w:iCs w:val="false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3.4 Rede Neural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Redes neurais estão baseadas na arquitetura de aprendizagem de organismos inteligentes, que aprendem através da experiência. A partir dos trabalhos de Santiago Ramón y Cajal sobre a estrutura microscópica do cérebro e o funcionamento dos neurônios a começos do século XX, McCulloch e Pitts fizeram o primeiro modelo computacional simulando o comportamento de um neurônio biológico.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estrutura da rede neural em séries temporais é composta de uma camada de entrada, uma ou mais camadas ocultas e uma camada de saída. Os valores da série temporal passam por uma função de normalização na camada de entrada e é dado um peso, inicialmente aleatório, para serem enviados às camadas ocultas.</w:t>
      </w:r>
    </w:p>
    <w:p>
      <w:pPr>
        <w:pStyle w:val="Normal"/>
        <w:spacing w:before="0" w:after="0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aprendizagem se dá pelos erros cometidos pelas camadas de processamento, quando comparados com o valor de saída, que é conhecido. O erro serve para redistribuir os pesos entre as camadas de processamento, e o processo se repete até o valor de saída se aproximar do valor desejado ou conhecido.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Existem diversas metodologias para a aprendizagem, em séries de comportamento regular uma das mas efetivas é a de retro propagação, que será usado nesse trabalho. A modificação dos pesos em cada repetição é dada através de uma taxa de aprendizado e um termo adicional de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momentum,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que introduze um efeito de inércia e ajuda a amortecer as oscilações em torno da melhor solução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.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O pacote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R neuralnet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implementa a metodologia mencionada anteriormente, possibilitando o cálculo de intervalo de confiança para os pesos e gerar gráficos diversos.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Ttulo2"/>
        <w:ind w:left="0" w:right="0" w:firstLine="567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4- Resultados e Discussão</w:t>
      </w:r>
    </w:p>
    <w:p>
      <w:pPr>
        <w:pStyle w:val="Normal"/>
        <w:rPr/>
      </w:pPr>
      <w:r>
        <w:rPr/>
        <w:t>4.1 - Modelo SARIMA</w:t>
      </w:r>
    </w:p>
    <w:p>
      <w:pPr>
        <w:pStyle w:val="Normal"/>
        <w:rPr/>
      </w:pPr>
      <w:r>
        <w:rPr/>
        <w:t xml:space="preserve">Como a série aparenta ser não estacionária foi feito um teste de RU usando </w:t>
      </w:r>
      <w:r>
        <w:rPr/>
        <w:t>o</w:t>
      </w:r>
      <w:r>
        <w:rPr/>
        <w:t xml:space="preserve"> teste de Dickey-Fuller Aumentado, conhecido na literatura como teste ADF(Augmented Dickey-Fuller), que confirmou </w:t>
      </w:r>
      <w:r>
        <w:rPr/>
        <w:t>a série</w:t>
      </w:r>
      <w:r>
        <w:rPr/>
        <w:t xml:space="preserve"> ser não estacionária. Foi realizada uma diferenciação, </w:t>
      </w:r>
      <w:r>
        <w:rPr/>
        <w:t xml:space="preserve">primeiro com </w:t>
      </w:r>
      <w:r>
        <w:rPr>
          <w:i/>
          <w:iCs/>
        </w:rPr>
        <w:t xml:space="preserve">lag = 1 </w:t>
      </w:r>
      <w:r>
        <w:rPr>
          <w:i w:val="false"/>
          <w:iCs w:val="false"/>
        </w:rPr>
        <w:t xml:space="preserve">e depois com </w:t>
      </w:r>
      <w:r>
        <w:rPr>
          <w:i/>
          <w:iCs/>
        </w:rPr>
        <w:t xml:space="preserve">lag = 12 </w:t>
      </w:r>
      <w:r>
        <w:rPr/>
        <w:t xml:space="preserve"> usando a função log para tirar ao mesmo tempo o incremento da </w:t>
      </w:r>
      <w:r>
        <w:rPr/>
        <w:t>variância (Figura 5).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727835"/>
            <wp:effectExtent l="0" t="0" r="0" b="0"/>
            <wp:wrapSquare wrapText="largest"/>
            <wp:docPr id="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7" t="9858" r="4853" b="9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7278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861185"/>
            <wp:effectExtent l="0" t="0" r="0" b="0"/>
            <wp:wrapSquare wrapText="largest"/>
            <wp:docPr id="5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7" t="9858" r="4853" b="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</w:t>
      </w:r>
      <w:r>
        <w:rPr>
          <w:rFonts w:eastAsia="Times New Roman" w:cs="Arial"/>
          <w:color w:val="00000A"/>
          <w:lang w:val="pt-BR" w:eastAsia="en-US" w:bidi="ar-SA"/>
        </w:rPr>
        <w:t>Diferenciação com período de 12 meses</w:t>
      </w:r>
    </w:p>
    <w:p>
      <w:pPr>
        <w:pStyle w:val="Normal"/>
        <w:rPr/>
      </w:pPr>
      <w:r>
        <w:rPr/>
        <w:t xml:space="preserve">Feito novamente o teste de RU o valor de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τ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inferior a valor crítico a 95% de probabilidade confirmou que a série resultante é estacionária.</w:t>
      </w:r>
    </w:p>
    <w:p>
      <w:pPr>
        <w:pStyle w:val="Normal"/>
        <w:rPr/>
      </w:pPr>
      <w:r>
        <w:rPr>
          <w:b/>
          <w:bCs/>
        </w:rPr>
        <w:t>Especificação e Estimação</w:t>
      </w:r>
      <w:r>
        <w:rPr/>
        <w:t xml:space="preserve"> - </w:t>
      </w:r>
      <w:r>
        <w:rPr/>
        <w:t xml:space="preserve">Foram feitos dois modelos, um com a sugestão da função </w:t>
      </w:r>
      <w:r>
        <w:rPr>
          <w:i/>
          <w:iCs/>
        </w:rPr>
        <w:t>auto.arima (0,1,1)(0,1,2)[12]</w:t>
      </w:r>
      <w:r>
        <w:rPr>
          <w:i w:val="false"/>
          <w:iCs w:val="false"/>
        </w:rPr>
        <w:t xml:space="preserve"> e outro com uma variação (0,1,1)(0,1,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 xml:space="preserve">)[12]. </w:t>
      </w:r>
      <w:r>
        <w:rPr>
          <w:i w:val="false"/>
          <w:iCs w:val="false"/>
        </w:rPr>
        <w:t xml:space="preserve">O valor AIC do segundo foi melhor e foi o adotado. A função </w:t>
      </w:r>
      <w:r>
        <w:rPr>
          <w:i/>
          <w:iCs/>
        </w:rPr>
        <w:t>BETS.t_test</w:t>
      </w:r>
      <w:r>
        <w:rPr>
          <w:i w:val="false"/>
          <w:iCs w:val="false"/>
        </w:rPr>
        <w:t xml:space="preserve"> apresentou os seguintes resultados para os coeficientes: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994535"/>
            <wp:effectExtent l="0" t="0" r="0" b="0"/>
            <wp:wrapSquare wrapText="largest"/>
            <wp:docPr id="6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7" t="3708" r="4853" b="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945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bookmarkStart w:id="6" w:name="__DdeLink__362_1565695527"/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</w:t>
      </w:r>
      <w:bookmarkEnd w:id="6"/>
      <w:r>
        <w:rPr>
          <w:rFonts w:eastAsia="Times New Roman" w:cs="Arial"/>
          <w:color w:val="00000A"/>
          <w:lang w:val="pt-BR" w:eastAsia="en-US" w:bidi="ar-SA"/>
        </w:rPr>
        <w:t>olume e média de Vendas por mês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Diagnóstico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16125"/>
            <wp:effectExtent l="0" t="0" r="0" b="0"/>
            <wp:wrapSquare wrapText="largest"/>
            <wp:docPr id="7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57" t="4818" r="3217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16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widowControl/>
        <w:overflowPunct w:val="fals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Normal"/>
        <w:rPr/>
      </w:pPr>
      <w:r>
        <w:rPr/>
        <w:t>4.2 - Modelo Holt-Winters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59305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20" t="975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593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– Decomposição da série com a função </w:t>
      </w:r>
      <w:r>
        <w:rPr>
          <w:i/>
          <w:iCs/>
        </w:rPr>
        <w:t>stats::HoltWinters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986915"/>
            <wp:effectExtent l="0" t="0" r="0" b="0"/>
            <wp:wrapSquare wrapText="largest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56" t="14772" r="6086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869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– Serie original, ajustada e previsão 2012 com intervalo de confiança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59305"/>
            <wp:effectExtent l="0" t="0" r="0" b="0"/>
            <wp:wrapSquare wrapText="largest"/>
            <wp:docPr id="10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20" t="975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593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– Previsão de 2012 com valores reais em azul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4.3 - Rede Neural</w:t>
      </w:r>
    </w:p>
    <w:p>
      <w:pPr>
        <w:pStyle w:val="Normal"/>
        <w:rPr/>
      </w:pPr>
      <w:r>
        <w:rPr/>
        <w:t xml:space="preserve">Como preparação da série foi aplicada uma função </w:t>
      </w:r>
      <w:r>
        <w:rPr>
          <w:i/>
          <w:iCs/>
        </w:rPr>
        <w:t>log</w:t>
      </w:r>
      <w:r>
        <w:rPr>
          <w:i w:val="false"/>
          <w:iCs w:val="false"/>
        </w:rPr>
        <w:t xml:space="preserve"> para estabilizar a variação e uma diferenciação de primeira ordem com passo de 1 para retirar a tendência. A figura XX apresenta o resultado dessa preparação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738630"/>
            <wp:effectExtent l="0" t="0" r="0" b="0"/>
            <wp:wrapSquare wrapText="largest"/>
            <wp:docPr id="1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0" t="14772" r="4818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7386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– Serie temporal após preparação dos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 construção da rede neural, definimos os valores da camada de entrada, a quantidade de nós na camada oculta, assim como os valores na camada de saída. Nesse caso foram escolhidos 4 valores de entrada, correspondendo ao valor do mês anterior, o segundo mês anterior, o quarto e o décimo segundo, caracterizando valores anuais, trimestrais e de dois meses prévios. Os nós da camada oculta devem ser suficientes para modelar o fenômeno, nem muitos que ocasionem um </w:t>
      </w:r>
      <w:r>
        <w:rPr>
          <w:i/>
          <w:iCs/>
        </w:rPr>
        <w:t xml:space="preserve">overfitting, </w:t>
      </w:r>
      <w:r>
        <w:rPr>
          <w:i w:val="false"/>
          <w:iCs w:val="false"/>
        </w:rPr>
        <w:t>nem poucos que percam peculiaridades da série. A seguinte tabela apresenta o padrão de escolha de valores de entrada e o correspondente de saída.</w:t>
      </w:r>
    </w:p>
    <w:p>
      <w:pPr>
        <w:pStyle w:val="Normal"/>
        <w:rPr/>
      </w:pPr>
      <w:r>
        <w:rPr/>
        <w:object>
          <v:shape id="ole_rId13" style="width:390.05pt;height:91.3pt" o:ole="">
            <v:imagedata r:id="rId14" o:title=""/>
          </v:shape>
          <o:OLEObject Type="Embed" ProgID="Excel.Sheet.12" ShapeID="ole_rId13" DrawAspect="Content" ObjectID="_1016081101" r:id="rId13"/>
        </w:object>
      </w:r>
    </w:p>
    <w:p>
      <w:pPr>
        <w:pStyle w:val="Normal"/>
        <w:rPr/>
      </w:pPr>
      <w:r>
        <w:rPr/>
      </w:r>
    </w:p>
    <w:p>
      <w:pPr>
        <w:pStyle w:val="Normal"/>
        <w:spacing w:lineRule="atLeast" w:line="300"/>
        <w:ind w:left="0" w:right="0" w:hanging="0"/>
        <w:rPr>
          <w:rFonts w:ascii="Arial" w:hAnsi="Arial"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ab/>
        <w:t xml:space="preserve">A aprendizagem na rede é feita a partir de uma seleção de amostras, chamadas de treino e teste. Para esse estudo temos um total de 107 padrões dos quais vamos selecionar 95 para o treinamento 12 de teste. Serão usados 8 nós ou neurônios em uma camada oculta. Esse valor foi o melhor encontrado depois de testar de 3 a 10 nós. Os argumentos principais da função </w:t>
      </w:r>
      <w:r>
        <w:rPr>
          <w:rFonts w:eastAsia="Calibri" w:cs="Tahoma"/>
          <w:b w:val="false"/>
          <w:i/>
          <w:iCs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neuralnet</w:t>
      </w:r>
      <w:r>
        <w:rPr>
          <w:rFonts w:eastAsia="Calibri" w:cs="Tahoma"/>
          <w:b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 xml:space="preserve"> são a fórmula  usada (Y ~ X1 + X2 + X3 + X4), os dados de entrada e os nós da camada oculta (8). A rede formada e o treinamento com os valores e pesos finais é apresentada na seguinte figura.</w:t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300605"/>
            <wp:effectExtent l="0" t="0" r="0" b="0"/>
            <wp:wrapSquare wrapText="largest"/>
            <wp:docPr id="1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853" t="-220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3006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12</w:t>
      </w:r>
      <w:r>
        <w:fldChar w:fldCharType="end"/>
      </w:r>
      <w:r>
        <w:rPr/>
        <w:t xml:space="preserve"> – Rede neural com valores e pesos finais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Após o cálculo da rede, são feitas duas previsões de valores chamadas </w:t>
      </w:r>
      <w:r>
        <w:rPr>
          <w:i/>
          <w:iCs/>
        </w:rPr>
        <w:t xml:space="preserve">in-sample </w:t>
      </w:r>
      <w:r>
        <w:rPr>
          <w:i w:val="false"/>
          <w:iCs w:val="false"/>
        </w:rPr>
        <w:t>e</w:t>
      </w:r>
      <w:r>
        <w:rPr>
          <w:i/>
          <w:iCs/>
        </w:rPr>
        <w:t xml:space="preserve"> out-sample. </w:t>
      </w:r>
      <w:r>
        <w:rPr>
          <w:i w:val="false"/>
          <w:iCs w:val="false"/>
        </w:rPr>
        <w:t>A primeira usando</w:t>
      </w:r>
      <w:r>
        <w:rPr/>
        <w:t xml:space="preserve"> os valores do treinamento e a segunda sobre os valores de teste, previamente separados. As previsões servem para saber a precisão que a rede atinge. Finalmente é feita uma previsão um passo à frente sobre valores fora do intervalo da amostra. Nesse caso prevemos 12 valores para o ano de 2012 que são apresentados como uma linha vermelha, enquanto os valores reais da varável são representados por círculos cheios. Foram incluídos os valores de precisão MAD e MAPE.</w:t>
      </w:r>
    </w:p>
    <w:p>
      <w:pPr>
        <w:pStyle w:val="Caption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107950</wp:posOffset>
            </wp:positionV>
            <wp:extent cx="2879725" cy="1943735"/>
            <wp:effectExtent l="0" t="0" r="0" b="0"/>
            <wp:wrapSquare wrapText="largest"/>
            <wp:docPr id="1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7" t="9858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437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widowControl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13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Previsão para 2012 (linha vermelha), valores reais (pontos) e parâmetros e precisão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5- Conclusão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6- Referências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C. Chatfield (1978) The Holt-Winters Forecasting Procedure Journal of the Royal Statistical Society. Series C (Applied Statistics) Vol. 27, No. 3, pp. 264-279</w:t>
      </w:r>
    </w:p>
    <w:p>
      <w:pPr>
        <w:pStyle w:val="Citaes"/>
        <w:rPr/>
      </w:pPr>
      <w:r>
        <w:rPr>
          <w:sz w:val="18"/>
          <w:szCs w:val="18"/>
        </w:rPr>
        <w:t xml:space="preserve">C. C. Holt (1957) Forecasting seasonals and trends by exponentially weighted moving averages, ONR Research Memorandum, Carnegie Institute of Technology 52. (reprint at </w:t>
      </w:r>
      <w:hyperlink r:id="rId17">
        <w:r>
          <w:rPr>
            <w:rStyle w:val="LinkdaInternet"/>
            <w:sz w:val="18"/>
            <w:szCs w:val="18"/>
          </w:rPr>
          <w:t>http://dx.doi.org/10.1016/j.ijforecast.2003.09.015</w:t>
        </w:r>
      </w:hyperlink>
      <w:r>
        <w:rPr>
          <w:sz w:val="18"/>
          <w:szCs w:val="18"/>
        </w:rPr>
        <w:t>).</w:t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P. R. Winters (1960) Forecasting sales by exponentially weighted moving averages, Management Science 6, 324–342.</w:t>
      </w:r>
    </w:p>
    <w:p>
      <w:pPr>
        <w:pStyle w:val="Citaes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Anexo</w:t>
      </w:r>
    </w:p>
    <w:p>
      <w:pPr>
        <w:pStyle w:val="Normal"/>
        <w:rPr/>
      </w:pPr>
      <w:r>
        <w:rPr/>
        <w:t>Os scripts completos de cada análise podem ser consultados em GitHub</w:t>
      </w:r>
    </w:p>
    <w:p>
      <w:pPr>
        <w:pStyle w:val="Normal"/>
        <w:rPr/>
      </w:pPr>
      <w:r>
        <w:rPr/>
        <w:t>Resumo das principais linhas de script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1- Preparação dos dados</w:t>
      </w:r>
    </w:p>
    <w:p>
      <w:pPr>
        <w:pStyle w:val="Normal"/>
        <w:ind w:left="0" w:right="0" w:hanging="0"/>
        <w:rPr/>
      </w:pPr>
      <w:r>
        <w:rPr/>
        <w:t>vendas &lt;- read.csv(".../SER_III/ST/data/IBGE_VVCVA_RN.csv",header=FALSE,</w:t>
      </w:r>
    </w:p>
    <w:p>
      <w:pPr>
        <w:pStyle w:val="Normal"/>
        <w:ind w:left="0" w:right="0" w:hanging="0"/>
        <w:rPr/>
      </w:pPr>
      <w:r>
        <w:rPr/>
        <w:tab/>
        <w:t>stringsAsFactors = F) #transposiçãoo de linha a coluna em dataframe</w:t>
      </w:r>
    </w:p>
    <w:p>
      <w:pPr>
        <w:pStyle w:val="Normal"/>
        <w:ind w:left="0" w:right="0" w:hanging="0"/>
        <w:rPr/>
      </w:pPr>
      <w:r>
        <w:rPr/>
        <w:t>vendas2 &lt;- as.data.frame(t(vendas)) # transformaçãoo em st_Vendas temporal</w:t>
      </w:r>
    </w:p>
    <w:p>
      <w:pPr>
        <w:pStyle w:val="Normal"/>
        <w:ind w:left="0" w:right="0" w:hanging="0"/>
        <w:rPr/>
      </w:pPr>
      <w:r>
        <w:rPr/>
        <w:t>st_Vendas &lt;- ts(vendas2,  start     = c(2003,1),  frequency = 12)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2- SARIMA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3- Holt-Winters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HoltWinters(st_Vendas) # função  filtrado sobre a série temporal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coef &lt;- as.data.frame(HW$coefficients) # coeficientes calculados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 &lt;- predict(HW, 12, prediction.interval = TRUE, level = 0.95) # previsão 12 meses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O horizonte de previsão calculado é uma matriz de três colunas contendo o valor calculado assim como os limites superior e inferior de confiança ao 95%. Incorporando os valores realmente observados em 2012, e fazendo a diferença entre real e observado temos: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as.data.frame((matrix(round(p,2), 12)), dimnames(seq(1,12,1)))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cbind(hw,vol_2012)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names(hw_res)  &lt;- c("prev", "sup","inf","real")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hw_res %&gt;% mutate(dif = real-prev)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4- Rede Neural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logst_Vendas &lt;-  log(st_Vendas) # estabilizar a variância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delta &lt;- diff(logst_Vendas,lag = 1, differences = 1) # retirar a tendência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normalizado &lt;- (delta-minimo)/(maximo-minimo) # normalização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lags &lt;- c(1, 2, 4, 12)  # determinação de lags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 &lt;- max(lags) + 1  # inicar em valor número 13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nobs &lt;- length(normalizado) # número de observações: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modelo_nn &lt;- neuralnet(formula = Y ~ X1+X2+X3+X4, data= data.train[1: ninsample, ],  hidden = 8, linear.output  = F) # treinamento da rede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80" w:after="280"/>
        <w:jc w:val="center"/>
        <w:rPr/>
      </w:pPr>
      <w:r>
        <w:rPr/>
      </w:r>
    </w:p>
    <w:sectPr>
      <w:headerReference w:type="default" r:id="rId18"/>
      <w:footerReference w:type="default" r:id="rId19"/>
      <w:footnotePr>
        <w:numFmt w:val="decimal"/>
      </w:footnotePr>
      <w:type w:val="nextPage"/>
      <w:pgSz w:w="11906" w:h="16838"/>
      <w:pgMar w:left="1418" w:right="1418" w:header="567" w:top="1418" w:footer="1418" w:bottom="195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jc w:val="both"/>
        <w:rPr/>
      </w:pPr>
      <w:r>
        <w:rPr/>
        <w:footnoteRef/>
        <w:tab/>
        <w:t xml:space="preserve"> </w:t>
      </w:r>
      <w:r>
        <w:rPr/>
        <w:t xml:space="preserve">Instituto Brasileiro de Geografia e Estatística (IBGE), </w:t>
      </w:r>
      <w:hyperlink r:id="rId1">
        <w:r>
          <w:rPr>
            <w:rStyle w:val="LinkdaInternet"/>
          </w:rPr>
          <w:t>walter.pina@ibge.gov.br</w:t>
        </w:r>
      </w:hyperlink>
    </w:p>
  </w:footnote>
  <w:footnote w:id="3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Fundação Getúlio Vargas (FGV), </w:t>
      </w:r>
      <w:hyperlink r:id="rId2">
        <w:r>
          <w:rPr>
            <w:rStyle w:val="LinkdaInternet"/>
          </w:rPr>
          <w:t>pedro.guilherme@fgv.br</w:t>
        </w:r>
      </w:hyperlink>
    </w:p>
  </w:footnote>
  <w:footnote w:id="4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Universidade do Estado do Rio de Janeiro (UERJ), </w:t>
      </w:r>
      <w:hyperlink r:id="rId3">
        <w:r>
          <w:rPr>
            <w:rStyle w:val="LinkdaInternet"/>
          </w:rPr>
          <w:t>professorjmpf@hotmail.com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right="0" w:hanging="0"/>
      <w:rPr/>
    </w:pPr>
    <w:r>
      <w:rPr/>
      <w:drawing>
        <wp:inline distT="0" distB="0" distL="0" distR="0">
          <wp:extent cx="5725160" cy="682625"/>
          <wp:effectExtent l="0" t="0" r="0" b="0"/>
          <wp:docPr id="14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 w:before="0" w:after="120"/>
      <w:ind w:left="0" w:right="0" w:firstLine="567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autoRedefine/>
    <w:qFormat/>
    <w:pPr>
      <w:keepNext/>
      <w:keepLines/>
      <w:spacing w:before="120" w:after="120"/>
      <w:ind w:left="0" w:right="0" w:firstLine="567"/>
      <w:jc w:val="center"/>
      <w:outlineLvl w:val="0"/>
    </w:pPr>
    <w:rPr>
      <w:rFonts w:eastAsia="Calibri" w:cs="Tahoma"/>
      <w:b/>
      <w:caps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120"/>
      <w:ind w:left="0" w:right="0" w:firstLine="567"/>
      <w:outlineLvl w:val="1"/>
    </w:pPr>
    <w:rPr>
      <w:rFonts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ind w:left="0" w:right="0" w:firstLine="567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 w:val="24"/>
      <w:szCs w:val="32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</w:rPr>
  </w:style>
  <w:style w:type="character" w:styleId="CorpodetextoChar">
    <w:name w:val="Corpo de texto Char"/>
    <w:basedOn w:val="DefaultParagraphFont"/>
    <w:qFormat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CitaoChar">
    <w:name w:val="Citação Char"/>
    <w:basedOn w:val="DefaultParagraphFont"/>
    <w:qFormat/>
    <w:rPr>
      <w:rFonts w:ascii="Arial" w:hAnsi="Arial"/>
      <w:iCs/>
      <w:color w:val="000000"/>
      <w:sz w:val="18"/>
    </w:rPr>
  </w:style>
  <w:style w:type="character" w:styleId="SubtleReference">
    <w:name w:val="Subtle Reference"/>
    <w:basedOn w:val="DefaultParagraphFont"/>
    <w:qFormat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>
    <w:name w:val="a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TextodenotaderodapChar">
    <w:name w:val="Texto de nota de rodapé Char"/>
    <w:basedOn w:val="DefaultParagraphFont"/>
    <w:qFormat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overflowPunct w:val="fals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Calibri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120" w:after="0"/>
      <w:ind w:left="0" w:right="0" w:hanging="0"/>
      <w:contextualSpacing/>
      <w:jc w:val="center"/>
    </w:pPr>
    <w:rPr/>
  </w:style>
  <w:style w:type="paragraph" w:styleId="Quote">
    <w:name w:val="Quote"/>
    <w:basedOn w:val="Normal"/>
    <w:qFormat/>
    <w:pPr/>
    <w:rPr>
      <w:iCs/>
      <w:color w:val="000000"/>
      <w:sz w:val="18"/>
      <w:highlight w:val="white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>
    <w:name w:val="Table_Caption"/>
    <w:basedOn w:val="Normal"/>
    <w:qFormat/>
    <w:pPr>
      <w:keepNext/>
      <w:spacing w:lineRule="auto" w:line="276" w:before="240" w:after="120"/>
      <w:ind w:left="0" w:right="0"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pPr>
      <w:spacing w:before="0" w:after="0"/>
      <w:ind w:left="0" w:right="0" w:hanging="0"/>
      <w:jc w:val="center"/>
    </w:pPr>
    <w:rPr>
      <w:rFonts w:eastAsia="Times New Roman" w:cs="Arial"/>
      <w:sz w:val="18"/>
      <w:szCs w:val="18"/>
    </w:rPr>
  </w:style>
  <w:style w:type="paragraph" w:styleId="Footnotetext">
    <w:name w:val="footnote text"/>
    <w:basedOn w:val="Normal"/>
    <w:qFormat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qFormat/>
    <w:pPr>
      <w:spacing w:before="0" w:after="160"/>
      <w:ind w:left="0" w:right="0" w:firstLine="567"/>
    </w:pPr>
    <w:rPr>
      <w:rFonts w:ascii="Calibri" w:hAnsi="Calibri" w:eastAsia="Calibri"/>
      <w:color w:val="5A5A5A"/>
      <w:spacing w:val="15"/>
    </w:rPr>
  </w:style>
  <w:style w:type="paragraph" w:styleId="Notaderodap">
    <w:name w:val="Footnote Text"/>
    <w:basedOn w:val="Normal"/>
    <w:pPr/>
    <w:rPr/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package" Target="embeddings/oleObject1.xlsx"/><Relationship Id="rId14" Type="http://schemas.openxmlformats.org/officeDocument/2006/relationships/image" Target="media/image12.emf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yperlink" Target="http://dx.doi.org/10.1016/j.ijforecast.2003.09.015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mailto:walter.pina@ibge.gov.br" TargetMode="External"/><Relationship Id="rId2" Type="http://schemas.openxmlformats.org/officeDocument/2006/relationships/hyperlink" Target="mailto:pedro.guilherme@fgv.br" TargetMode="External"/><Relationship Id="rId3" Type="http://schemas.openxmlformats.org/officeDocument/2006/relationships/hyperlink" Target="mailto:professorjmpf@hotmail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Application>LibreOffice/5.3.1.2$Windows_x86 LibreOffice_project/e80a0e0fd1875e1696614d24c32df0f95f03deb2</Application>
  <Pages>13</Pages>
  <Words>2372</Words>
  <Characters>12658</Characters>
  <CharactersWithSpaces>14979</CharactersWithSpaces>
  <Paragraphs>112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2017-11-17T14:15:00Z</dcterms:created>
  <dc:creator>SER</dc:creator>
  <dc:description/>
  <dc:language>pt-BR</dc:language>
  <cp:lastModifiedBy>Humberto </cp:lastModifiedBy>
  <cp:lastPrinted>2018-03-09T13:50:43Z</cp:lastPrinted>
  <dcterms:modified xsi:type="dcterms:W3CDTF">2018-03-09T14:42:26Z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