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120" w:after="120"/>
        <w:ind w:left="0" w:right="0" w:firstLine="567"/>
        <w:rPr/>
      </w:pPr>
      <w:r>
        <w:rPr/>
        <w:t xml:space="preserve">Análise de série temporal usando modelos paramétricos e rede neural </w:t>
      </w:r>
    </w:p>
    <w:p>
      <w:pPr>
        <w:pStyle w:val="Normal"/>
        <w:ind w:left="0" w:right="0" w:hanging="0"/>
        <w:jc w:val="left"/>
        <w:rPr/>
      </w:pPr>
      <w:r>
        <w:rPr/>
        <w:t>Walter Humberto Subiza Pina</w:t>
      </w:r>
      <w:r>
        <w:rPr>
          <w:rStyle w:val="Ncoradanotaderodap"/>
        </w:rPr>
        <w:footnoteReference w:id="2"/>
      </w:r>
    </w:p>
    <w:p>
      <w:pPr>
        <w:pStyle w:val="Normal"/>
        <w:ind w:left="0" w:right="0" w:hanging="0"/>
        <w:jc w:val="left"/>
        <w:rPr/>
      </w:pPr>
      <w:r>
        <w:rPr/>
        <w:t>Pedro Guilherme Costa Ferreira</w:t>
      </w:r>
      <w:r>
        <w:rPr>
          <w:rStyle w:val="Ncoradanotaderodap"/>
        </w:rPr>
        <w:footnoteReference w:id="3"/>
      </w:r>
    </w:p>
    <w:p>
      <w:pPr>
        <w:pStyle w:val="Normal"/>
        <w:ind w:left="0" w:right="0" w:hanging="0"/>
        <w:jc w:val="left"/>
        <w:rPr/>
      </w:pPr>
      <w:r>
        <w:rPr/>
        <w:t>José Francisco Pessanha</w:t>
      </w:r>
      <w:r>
        <w:rPr>
          <w:rStyle w:val="Ncoradanotaderodap"/>
        </w:rPr>
        <w:footnoteReference w:id="4"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Resumo</w:t>
      </w:r>
    </w:p>
    <w:p>
      <w:pPr>
        <w:pStyle w:val="NoSpacing"/>
        <w:rPr/>
      </w:pPr>
      <w:r>
        <w:rPr/>
        <w:t xml:space="preserve">Apresenta-se a análise de uma série temporal de economia univariada, por meio dos modelos SARIMA, HOLT-WINTERS e com modelo de Rede Neural de aprendizado de máquina. A série com valores mensais e comprimento de 8 anos, pertence ao IBGE e contém o volume de vendas ao comércio varejista ampliado (VCVA). Foi feita uma previsão de volume 12 meses à frente com cada metodologia e os resultados comparados com o volume real registrado. </w:t>
      </w:r>
    </w:p>
    <w:p>
      <w:pPr>
        <w:pStyle w:val="NoSpacing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</w:rPr>
        <w:t xml:space="preserve">Palavras-chave: </w:t>
      </w:r>
      <w:r>
        <w:rPr>
          <w:b w:val="false"/>
          <w:bCs w:val="false"/>
        </w:rPr>
        <w:t>s</w:t>
      </w:r>
      <w:r>
        <w:rPr>
          <w:rFonts w:eastAsia="Calibri"/>
          <w:b w:val="false"/>
          <w:bCs w:val="false"/>
          <w:color w:val="00000A"/>
          <w:sz w:val="22"/>
          <w:szCs w:val="22"/>
          <w:lang w:val="pt-BR" w:eastAsia="en-US" w:bidi="ar-SA"/>
        </w:rPr>
        <w:t>erie temporal</w:t>
      </w:r>
      <w:r>
        <w:rPr/>
        <w:t>, sarima,</w:t>
      </w:r>
      <w:bookmarkStart w:id="2" w:name="__DdeLink__201_3894236283"/>
      <w:r>
        <w:rPr/>
        <w:t xml:space="preserve"> Holt-Winters, rede neural</w:t>
      </w:r>
      <w:bookmarkEnd w:id="2"/>
      <w:r>
        <w:rPr/>
        <w:t xml:space="preserve">, IBGE. </w:t>
      </w:r>
    </w:p>
    <w:p>
      <w:pPr>
        <w:pStyle w:val="Normal"/>
        <w:jc w:val="center"/>
        <w:rPr>
          <w:b/>
          <w:b/>
        </w:rPr>
      </w:pPr>
      <w:r>
        <w:rPr>
          <w:b/>
          <w:lang w:val="en-US" w:eastAsia="en-US" w:bidi="ar-SA"/>
        </w:rPr>
        <w:t>Abstract</w:t>
      </w:r>
    </w:p>
    <w:p>
      <w:pPr>
        <w:pStyle w:val="NoSpacing"/>
        <w:jc w:val="both"/>
        <w:rPr>
          <w:lang w:val="en-US" w:eastAsia="en-US" w:bidi="ar-SA"/>
        </w:rPr>
      </w:pPr>
      <w:r>
        <w:rPr>
          <w:lang w:val="en-US" w:eastAsia="en-US" w:bidi="ar-SA"/>
        </w:rPr>
        <w:t xml:space="preserve">An analysis of a uni-variate time series was made, using SARIMA and HOLT-WINTERS models as well as Neural Network. The time series from the IBGE, contain monthly values over an 8 year period of the volume of </w:t>
      </w:r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increased retail sales</w:t>
      </w:r>
      <w:r>
        <w:rPr>
          <w:rFonts w:eastAsia="Calibri"/>
          <w:color w:val="00000A"/>
          <w:sz w:val="22"/>
          <w:szCs w:val="22"/>
          <w:lang w:val="en-US" w:eastAsia="en-US" w:bidi="ar-SA"/>
        </w:rPr>
        <w:t xml:space="preserve"> (VCVA). </w:t>
      </w:r>
      <w:bookmarkStart w:id="3" w:name="tw-target-text"/>
      <w:bookmarkEnd w:id="3"/>
      <w:r>
        <w:rPr>
          <w:rFonts w:eastAsia="Calibr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en-US" w:eastAsia="en-US" w:bidi="ar-SA"/>
        </w:rPr>
        <w:t>A volume forecast was made 12 months ahead with each methodology and the results compared to the actual volume recorded.</w:t>
      </w:r>
    </w:p>
    <w:p>
      <w:pPr>
        <w:pStyle w:val="NoSpacing"/>
        <w:jc w:val="both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ind w:left="0" w:right="0" w:hanging="0"/>
        <w:rPr/>
      </w:pPr>
      <w:r>
        <w:rPr>
          <w:b/>
        </w:rPr>
        <w:t xml:space="preserve">Keywords: </w:t>
      </w:r>
      <w:r>
        <w:rPr>
          <w:b w:val="false"/>
          <w:bCs w:val="false"/>
        </w:rPr>
        <w:t>Time series, sarima,  Holt-Winters, neural network.</w:t>
      </w:r>
    </w:p>
    <w:p>
      <w:pPr>
        <w:pStyle w:val="Ttulo2"/>
        <w:ind w:left="0" w:right="0" w:firstLine="567"/>
        <w:rPr/>
      </w:pPr>
      <w:r>
        <w:rPr/>
        <w:t>Introdução</w:t>
      </w:r>
    </w:p>
    <w:p>
      <w:pPr>
        <w:pStyle w:val="Normal"/>
        <w:rPr/>
      </w:pPr>
      <w:r>
        <w:rPr/>
        <w:t xml:space="preserve">Os autores devem redigir o ARTIGO utilizando este template, que está no formato adequado para a apresentação nos Anais do III SER – Seminário Internacional de Estatística com R. </w:t>
      </w:r>
    </w:p>
    <w:p>
      <w:pPr>
        <w:pStyle w:val="Normal"/>
        <w:rPr/>
      </w:pPr>
      <w:r>
        <w:rPr/>
        <w:t>Os artigos submetidos ao III SER poderá ser redigido em português, espanhol ou inglês usando o editor de texto Word (2003 ou superior). O arquivo não poderá ultrapassar 10 MB.</w:t>
      </w:r>
    </w:p>
    <w:p>
      <w:pPr>
        <w:pStyle w:val="Normal"/>
        <w:rPr/>
      </w:pPr>
      <w:r>
        <w:rPr/>
        <w:t xml:space="preserve">O texto deve seguir a seguinte formatação: </w:t>
      </w:r>
      <w:r>
        <w:rPr>
          <w:u w:val="single"/>
        </w:rPr>
        <w:t>Tamanho do papel</w:t>
      </w:r>
      <w:r>
        <w:rPr/>
        <w:t xml:space="preserve"> A4 (21 cm x 29,7 cm), </w:t>
      </w:r>
      <w:r>
        <w:rPr>
          <w:u w:val="single"/>
        </w:rPr>
        <w:t>Fonte</w:t>
      </w:r>
      <w:r>
        <w:rPr/>
        <w:t xml:space="preserve"> Arial; </w:t>
      </w:r>
      <w:r>
        <w:rPr>
          <w:u w:val="single"/>
        </w:rPr>
        <w:t>Tamanho da fonte</w:t>
      </w:r>
      <w:r>
        <w:rPr/>
        <w:t xml:space="preserve"> 11; </w:t>
      </w:r>
      <w:r>
        <w:rPr>
          <w:u w:val="single"/>
        </w:rPr>
        <w:t>Todas as Margens (esquerda, superior, direita e inferior)</w:t>
      </w:r>
      <w:r>
        <w:rPr/>
        <w:t xml:space="preserve"> com 2,5 cm; e </w:t>
      </w:r>
      <w:r>
        <w:rPr>
          <w:u w:val="single"/>
        </w:rPr>
        <w:t>Espaçamento entre linhas</w:t>
      </w:r>
      <w:r>
        <w:rPr/>
        <w:t xml:space="preserve"> de 1,5 cm. As páginas deverão ser devidamente numeradas.</w:t>
      </w:r>
    </w:p>
    <w:p>
      <w:pPr>
        <w:pStyle w:val="Normal"/>
        <w:rPr/>
      </w:pPr>
      <w:r>
        <w:rPr/>
        <w:t xml:space="preserve">O texto integral do ARTIGO deve possuir no máximo 15 páginas, com Título, Identificação dos Autores (MÁXIMO DE 4 AUTORES), seus e-mails e as instituições de origem, Resumo (parágrafo único e espaço simples), Palavras-chave, Abstract, Keywords, respeitando a seguinte estrutura especificada neste template: 1) Introdução; 2) Objetivos; 3) Material e Método; 4) Resultados e Discussão; 5) Conclusão; 6) Referências e 7)Anexo. </w:t>
      </w:r>
      <w:r>
        <w:rPr>
          <w:b/>
        </w:rPr>
        <w:t>Os títulos de seção</w:t>
      </w:r>
      <w:r>
        <w:rPr/>
        <w:t xml:space="preserve"> devem ser escritos em fonte 11, negrito, em parágrafo com espaçamento anterior e posterior de 6 pt (use o estilo Título 2). </w:t>
      </w:r>
      <w:r>
        <w:rPr>
          <w:b/>
        </w:rPr>
        <w:t>Os parágrafos</w:t>
      </w:r>
      <w:r>
        <w:rPr/>
        <w:t xml:space="preserve"> devem ser tabulados em 1.0 cm (use estilo Normal).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highlight w:val="yellow"/>
        </w:rPr>
        <w:t xml:space="preserve">A submissão do ARTIGO para o III SER se dará por meio do cadastro do(s) autor(es), através do preenchimento de </w:t>
      </w:r>
      <w:r>
        <w:rPr>
          <w:b/>
          <w:highlight w:val="yellow"/>
        </w:rPr>
        <w:t>formulário próprio para esta modalidade</w:t>
      </w:r>
      <w:r>
        <w:rPr>
          <w:highlight w:val="yellow"/>
        </w:rPr>
        <w:t xml:space="preserve"> disponível no site do evento (</w:t>
      </w:r>
      <w:hyperlink r:id="rId2">
        <w:r>
          <w:rPr>
            <w:rStyle w:val="LinkdaInternet"/>
            <w:highlight w:val="yellow"/>
          </w:rPr>
          <w:t>www.ser.uff.br</w:t>
        </w:r>
      </w:hyperlink>
      <w:r>
        <w:rPr>
          <w:highlight w:val="yellow"/>
        </w:rPr>
        <w:t>), a partir de 15 de janeiro de 2018. No momento do preenchimento, o arquivo do artigo será anexado ao formulário e submetido para o evento. ATENÇÃO: O arquivo eletrônico do artigo deverá ser enviado em formato .doc ou .docx nomeado como exemplificado a seguir:</w:t>
      </w:r>
    </w:p>
    <w:p>
      <w:pPr>
        <w:pStyle w:val="Normal"/>
        <w:spacing w:before="0" w:after="0"/>
        <w:ind w:left="0" w:right="0" w:hanging="0"/>
        <w:rPr>
          <w:b/>
          <w:b/>
          <w:highlight w:val="yellow"/>
        </w:rPr>
      </w:pPr>
      <w:r>
        <w:rPr>
          <w:b/>
          <w:highlight w:val="yellow"/>
        </w:rPr>
        <w:t>IIISERArtigoNomeCompletoDoPrimeiroAutorSemEspacos.docx</w:t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Objetivo</w:t>
      </w:r>
    </w:p>
    <w:p>
      <w:pPr>
        <w:pStyle w:val="Normal"/>
        <w:spacing w:before="0" w:after="0"/>
        <w:rPr/>
      </w:pPr>
      <w:r>
        <w:rPr/>
        <w:t>È feita uma comparação de três metodologias diferentes de análise para uma série temporal de variável econômica.</w:t>
      </w:r>
    </w:p>
    <w:p>
      <w:pPr>
        <w:pStyle w:val="Ttulo2"/>
        <w:ind w:left="0" w:right="0" w:firstLine="567"/>
        <w:rPr/>
      </w:pPr>
      <w:r>
        <w:rPr/>
        <w:t>Material e Método</w:t>
      </w:r>
    </w:p>
    <w:p>
      <w:pPr>
        <w:pStyle w:val="Normal"/>
        <w:spacing w:before="0" w:after="0"/>
        <w:rPr/>
      </w:pPr>
      <w:r>
        <w:rPr/>
        <w:t>A série temporal a ser analisada pertence ao IBGE e tem dados sobre o volume de vendas do comércio varejista ampliado (VVCVA) entre Janeiro de 2003 e Dezembro de 2011 com Índice de base fixa 2003 = 100. A série inclui além do comércio varejista, os setores de "Veículos, motocicletas, partes e peças" e “Material de construção” e foi extraída em Janeiro de 2018.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Modelo SARIMA</w:t>
      </w:r>
    </w:p>
    <w:p>
      <w:pPr>
        <w:pStyle w:val="Normal"/>
        <w:spacing w:before="0" w:after="0"/>
        <w:rPr/>
      </w:pPr>
      <w:r>
        <w:rPr/>
        <w:t xml:space="preserve">Um dos modelos mais usados na presença de sazonalidade é o autorregressão de médias móveis ou ARIMA. Na presença de sazonalidade ele é chamado de SARIMA. </w:t>
      </w:r>
    </w:p>
    <w:p>
      <w:pPr>
        <w:pStyle w:val="Normal"/>
        <w:spacing w:before="0" w:after="0"/>
        <w:rPr/>
      </w:pPr>
      <w:r>
        <w:rPr/>
        <w:t>As etapas de análise incluem a especificação, identificação, estimação, diagnóstico e finalmente a predição.</w:t>
      </w:r>
    </w:p>
    <w:p>
      <w:pPr>
        <w:pStyle w:val="Normal"/>
        <w:spacing w:before="0" w:after="0"/>
        <w:rPr/>
      </w:pPr>
      <w:r>
        <w:rPr/>
        <w:t>Na especificação, é feita….</w:t>
      </w:r>
    </w:p>
    <w:p>
      <w:pPr>
        <w:pStyle w:val="Normal"/>
        <w:spacing w:before="0" w:after="0"/>
        <w:rPr/>
      </w:pPr>
      <w:r>
        <w:rPr/>
        <w:t>Na identificação ….</w:t>
      </w:r>
    </w:p>
    <w:p>
      <w:pPr>
        <w:pStyle w:val="Normal"/>
        <w:spacing w:before="0" w:after="0"/>
        <w:rPr/>
      </w:pPr>
      <w:r>
        <w:rPr/>
        <w:t>Na etapa de estimação…</w:t>
      </w:r>
    </w:p>
    <w:p>
      <w:pPr>
        <w:pStyle w:val="Normal"/>
        <w:spacing w:before="0" w:after="0"/>
        <w:rPr/>
      </w:pPr>
      <w:r>
        <w:rPr/>
        <w:t>No diagnóstico…</w:t>
      </w:r>
    </w:p>
    <w:p>
      <w:pPr>
        <w:pStyle w:val="Normal"/>
        <w:spacing w:before="0" w:after="0"/>
        <w:rPr/>
      </w:pPr>
      <w:r>
        <w:rPr/>
        <w:t>Finalmente na predição…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Modelo Holt-Winters </w:t>
      </w:r>
    </w:p>
    <w:p>
      <w:pPr>
        <w:pStyle w:val="Normal"/>
        <w:spacing w:before="0" w:after="0"/>
        <w:rPr/>
      </w:pPr>
      <w:r>
        <w:rPr/>
        <w:t>O método Holt-Winters, usa médias móveis com ponderação exponencial para efetuar uma estimação das médias ajustadas por sazonalidade (ou nível), inclinação da série e sazonalidade, sendo muito usado pelo seu baixo custo computacional.</w:t>
      </w:r>
    </w:p>
    <w:p>
      <w:pPr>
        <w:pStyle w:val="Normal"/>
        <w:spacing w:before="0" w:after="0"/>
        <w:rPr/>
      </w:pPr>
      <w:r>
        <w:rPr/>
        <w:t>A variação sazonal pode ser modelada de duas formas: tipo multiplicativo (se a sazonalidade é alterada pelo nível da série) ou aditivo (o padrão sazonal não se altera).</w:t>
      </w:r>
    </w:p>
    <w:p>
      <w:pPr>
        <w:pStyle w:val="Normal"/>
        <w:spacing w:before="0" w:after="0"/>
        <w:rPr/>
      </w:pPr>
      <w:r>
        <w:rPr/>
      </w:r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A função de predição de Holt-Winters, para séries temporais de período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p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em </w:t>
      </w:r>
      <w:r>
        <w:rPr>
          <w:rFonts w:eastAsia="Calibri" w:ascii="Arial" w:hAnsi="Arial"/>
          <w:i/>
          <w:color w:val="00000A"/>
          <w:sz w:val="22"/>
          <w:szCs w:val="22"/>
          <w:lang w:val="pt-BR" w:eastAsia="en-US" w:bidi="ar-SA"/>
        </w:rPr>
        <w:t>h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períodos a frente após a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é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a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observação é dada da seguinte forma:</w:t>
      </w:r>
    </w:p>
    <w:p>
      <w:pPr>
        <w:pStyle w:val="Corpodetexto"/>
        <w:spacing w:before="0" w:after="0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h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Corpodetexto"/>
        <w:spacing w:before="0" w:after="0"/>
        <w:rPr/>
      </w:pPr>
      <w:r>
        <w:rPr/>
      </w:r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onde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,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e </w:t>
      </w:r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eastAsia="Calibri" w:ascii="Arial" w:hAnsi="Arial"/>
          <w:color w:val="00000A"/>
          <w:sz w:val="22"/>
          <w:szCs w:val="22"/>
          <w:lang w:val="pt-BR" w:eastAsia="en-US" w:bidi="ar-SA"/>
        </w:rPr>
        <w:t xml:space="preserve"> são os parâmetros de nível, tendência e sazonalidade da série, expressos por:</w:t>
      </w:r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α</m:t>
            </m:r>
          </m:e>
        </m:d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</m:oMath>
    </w:p>
    <w:p>
      <w:pPr>
        <w:pStyle w:val="Corpodetexto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β</m:t>
            </m:r>
          </m:e>
        </m:d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Corpodetexto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γ</m:t>
            </m:r>
          </m:e>
        </m:d>
        <m:sSub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p</m:t>
            </m:r>
          </m:sub>
        </m:sSub>
      </m:oMath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A implementação do método no R é a través da função </w:t>
      </w:r>
      <w:r>
        <w:rPr>
          <w:rFonts w:eastAsia="Calibri"/>
          <w:b w:val="false"/>
          <w:bCs w:val="false"/>
          <w:i/>
          <w:iCs/>
          <w:color w:val="00000A"/>
          <w:sz w:val="22"/>
          <w:szCs w:val="22"/>
          <w:lang w:val="pt-BR" w:eastAsia="en-US" w:bidi="ar-SA"/>
        </w:rPr>
        <w:t>stats::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HoltWinters,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que calcula os coeficientes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a, b,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s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e gera um objeto S3 da clase “HoltWinters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 xml:space="preserve">. 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>No caso de série anual, como o que vai ser analisado, o total de coeficientes é 14, correspondendo 12 deles a coeficientes sazonais.</w:t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O gráfico do objeto pode ser feito com a simples função base plot() , a qual apresenta em 4 janelas separadas os valores ajustados (“xhat”), o nível (“level”), a tendência (“trend”), e a componente sazonal (“season”). Feita a decomposição e calculados os coeficientes, a função genérica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stats::predict</w:t>
      </w: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  <w:t xml:space="preserve"> permite estimar valores à frente, sendo que além do intervalo  de tempo podemos solicitar um intervalo de confiança.</w:t>
      </w:r>
    </w:p>
    <w:p>
      <w:pPr>
        <w:pStyle w:val="Normal"/>
        <w:spacing w:before="0" w:after="0"/>
        <w:rPr>
          <w:rFonts w:ascii="Arial" w:hAnsi="Arial" w:eastAsia="Calibri"/>
          <w:i w:val="false"/>
          <w:i w:val="false"/>
          <w:iCs w:val="false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i w:val="false"/>
          <w:iCs w:val="false"/>
          <w:color w:val="00000A"/>
          <w:sz w:val="22"/>
          <w:szCs w:val="22"/>
          <w:lang w:val="pt-BR" w:eastAsia="en-US" w:bidi="ar-SA"/>
        </w:rPr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Rede Neural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As redes neurais estão baseadas na arquitetura de aprendizagem do ser humano e são compostas de camadas de entrada de informação, camadas ocultas de processamento e camadas de saída de resultados, semelhante aos neurônios do cérebro. 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A estrutura da rede neural é composta de camadas de entrada, conectadas a camadas denominadas de ocultas e camadas de saída. Para séries temporais 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>uni variadas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>, existe uma camada de entrada, uma ou mais camadas ocultas e uma camada de saída. Os valores da série temporal passam por uma função de normalização na camada de entrada e é dado um peso, inicialmente aleatório, para serem enviados às camadas ocultas.</w:t>
      </w:r>
    </w:p>
    <w:p>
      <w:pPr>
        <w:pStyle w:val="Normal"/>
        <w:spacing w:before="0" w:after="0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u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m:t xml:space="preserve"> </m:t>
        </m:r>
        <m:r>
          <w:rPr>
            <w:rFonts w:ascii="Cambria Math" w:hAnsi="Cambria Math"/>
          </w:rPr>
          <m:t xml:space="preserve">=</m:t>
        </m:r>
        <m:r>
          <m:t xml:space="preserve"> 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nary>
        <m:r>
          <m:t xml:space="preserve"> 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</m:oMath>
    </w:p>
    <w:p>
      <w:pPr>
        <w:pStyle w:val="Normal"/>
        <w:spacing w:before="0" w:after="0"/>
        <w:rPr>
          <w:rFonts w:eastAsia="Calibri"/>
          <w:color w:val="00000A"/>
          <w:sz w:val="22"/>
          <w:szCs w:val="22"/>
          <w:lang w:val="pt-BR" w:eastAsia="en-US" w:bidi="ar-SA"/>
        </w:rPr>
      </w:pPr>
      <w:r>
        <w:rPr/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A aprendizagem se dá pelos erros cometidos pelas camadas de processamento, quando comparados com o valor de saída, que é conhecido. O erro serve para redistribuir os pesos entre as camadas de processamento, e o processo se repete até o valor de saída se aproximar do valor desejado ou conhecido.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Existem diversas metodologias para a aprendizagem, em séries de comportamento regular uma das mas efetivas é a de retro propagação, que será usado nesse trabalho. A modificação dos pesos em cada repetição é dada através de uma taxa de aprendizado e um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momentum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>. Para cada série são determinados valores ótimos para cada variável.</w:t>
      </w:r>
    </w:p>
    <w:p>
      <w:pPr>
        <w:pStyle w:val="Normal"/>
        <w:spacing w:before="0" w:after="0"/>
        <w:rPr/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O pacote </w:t>
      </w:r>
      <w:r>
        <w:rPr>
          <w:rFonts w:eastAsia="Calibri"/>
          <w:i/>
          <w:iCs/>
          <w:color w:val="00000A"/>
          <w:sz w:val="22"/>
          <w:szCs w:val="22"/>
          <w:lang w:val="pt-BR" w:eastAsia="en-US" w:bidi="ar-SA"/>
        </w:rPr>
        <w:t>R neuralnet</w:t>
      </w:r>
      <w:r>
        <w:rPr>
          <w:rFonts w:eastAsia="Calibri"/>
          <w:color w:val="00000A"/>
          <w:sz w:val="22"/>
          <w:szCs w:val="22"/>
          <w:lang w:val="pt-BR" w:eastAsia="en-US" w:bidi="ar-SA"/>
        </w:rPr>
        <w:t xml:space="preserve"> implementa a metodologia mencionada anteriormente.</w:t>
      </w:r>
    </w:p>
    <w:p>
      <w:pPr>
        <w:pStyle w:val="Normal"/>
        <w:spacing w:before="0" w:after="0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</w:r>
    </w:p>
    <w:p>
      <w:pPr>
        <w:pStyle w:val="Ttulo2"/>
        <w:ind w:left="0" w:right="0" w:firstLine="567"/>
        <w:rPr>
          <w:rFonts w:ascii="Arial" w:hAnsi="Arial" w:eastAsia="Calibri"/>
          <w:color w:val="00000A"/>
          <w:sz w:val="22"/>
          <w:szCs w:val="22"/>
          <w:lang w:val="pt-BR" w:eastAsia="en-US" w:bidi="ar-SA"/>
        </w:rPr>
      </w:pPr>
      <w:r>
        <w:rPr>
          <w:rFonts w:eastAsia="Calibri"/>
          <w:color w:val="00000A"/>
          <w:sz w:val="22"/>
          <w:szCs w:val="22"/>
          <w:lang w:val="pt-BR" w:eastAsia="en-US" w:bidi="ar-SA"/>
        </w:rPr>
        <w:t>Resultados e Discussão</w:t>
      </w:r>
    </w:p>
    <w:p>
      <w:pPr>
        <w:pStyle w:val="Normal"/>
        <w:rPr/>
      </w:pPr>
      <w:r>
        <w:rPr/>
        <w:t>Deverá apresentar uma síntese dos resultados encontrados, podendo incluir tabela e/ou figura, desde que a sua inclusão não ultrapasse o limite máximo de QUINZE páginas. Nesta seção devem ser incluídos comentários sobre os resultados e/ou comparação dos achados do estudo com os de outras publicações.</w:t>
      </w:r>
    </w:p>
    <w:p>
      <w:pPr>
        <w:pStyle w:val="Normal"/>
        <w:spacing w:before="0" w:after="0"/>
        <w:rPr/>
      </w:pPr>
      <w:r>
        <w:rPr/>
        <w:t>As tabelas e figuras (Entende-se por figuras: gráficos, mapas, fotografias, etc.) devem ser numeradas sequencialmente em algarismos arábicos. Cada tabela e figura, além da numeração, deve possuir um título autoexplicativo apropriado, colocado centralizado, acima da tabela e abaixo da figura. Tanto a tabela quanto a figura deverão ter a especificação da FONTE, posicionada na parte inferior, como também ilustrado a seguir:</w:t>
      </w:r>
    </w:p>
    <w:p>
      <w:pPr>
        <w:pStyle w:val="Normal"/>
        <w:rPr/>
      </w:pPr>
      <w:r>
        <w:rPr/>
        <w:t>Figuras e gráficos devem ser centralizadas, conforme ilustrado na Figura 1. Toda figura deve apresentar uma legenda escrita em parágrafo centralizado em fonte Arial 9 e espaçamento anterior e posterior de 6pt. A Figura 1 busca ilustrar a formatação adotada.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1488440" cy="73088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>
          <w:b/>
        </w:rPr>
        <w:t xml:space="preserve">Figura </w:t>
      </w:r>
      <w:r>
        <w:rPr>
          <w:b/>
        </w:rPr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Escrever o título da Figura</w:t>
      </w:r>
    </w:p>
    <w:p>
      <w:pPr>
        <w:pStyle w:val="Normal"/>
        <w:spacing w:before="0" w:after="0"/>
        <w:jc w:val="center"/>
        <w:rPr/>
      </w:pPr>
      <w:r>
        <w:rPr/>
        <w:t>Fonte: SOBRENOME, 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Legendas de tabelas devem ser colocadas na parte superior das mesmas, em parágrafo centralizado, tamanho 10 e com espaçamento anterior e posterior de 6 - conforme ilustrado na Tabela 1. As tabelas devem ser formatadas adotando a mesma formatação da Tabela 1.</w:t>
      </w:r>
    </w:p>
    <w:p>
      <w:pPr>
        <w:pStyle w:val="Caption"/>
        <w:rPr/>
      </w:pPr>
      <w:r>
        <w:rPr>
          <w:b/>
        </w:rPr>
        <w:t xml:space="preserve">Tabela </w:t>
      </w:r>
      <w:r>
        <w:rPr>
          <w:b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– Escrever o título da Tabela.</w:t>
      </w:r>
    </w:p>
    <w:tbl>
      <w:tblPr>
        <w:tblW w:w="3740" w:type="dxa"/>
        <w:jc w:val="center"/>
        <w:tblInd w:w="0" w:type="dxa"/>
        <w:tblBorders>
          <w:top w:val="single" w:sz="8" w:space="0" w:color="00000A"/>
          <w:bottom w:val="single" w:sz="4" w:space="0" w:color="000001"/>
          <w:insideH w:val="single" w:sz="4" w:space="0" w:color="000001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1238"/>
        <w:gridCol w:w="1292"/>
        <w:gridCol w:w="1210"/>
      </w:tblGrid>
      <w:tr>
        <w:trPr>
          <w:trHeight w:val="315" w:hRule="atLeast"/>
        </w:trPr>
        <w:tc>
          <w:tcPr>
            <w:tcW w:w="1238" w:type="dxa"/>
            <w:vMerge w:val="restart"/>
            <w:tcBorders>
              <w:top w:val="single" w:sz="8" w:space="0" w:color="00000A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Ano</w:t>
            </w:r>
          </w:p>
        </w:tc>
        <w:tc>
          <w:tcPr>
            <w:tcW w:w="2502" w:type="dxa"/>
            <w:gridSpan w:val="2"/>
            <w:tcBorders>
              <w:top w:val="single" w:sz="8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Taxa (%)</w:t>
            </w:r>
          </w:p>
        </w:tc>
      </w:tr>
      <w:tr>
        <w:trPr>
          <w:trHeight w:val="315" w:hRule="atLeast"/>
        </w:trPr>
        <w:tc>
          <w:tcPr>
            <w:tcW w:w="1238" w:type="dxa"/>
            <w:vMerge w:val="continue"/>
            <w:tcBorders>
              <w:top w:val="single" w:sz="8" w:space="0" w:color="00000A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widowControl/>
              <w:bidi w:val="0"/>
              <w:spacing w:lineRule="auto" w:line="360" w:before="0" w:after="120"/>
              <w:ind w:left="0" w:right="0" w:firstLine="567"/>
              <w:jc w:val="both"/>
              <w:rPr/>
            </w:pPr>
            <w:r>
              <w:rPr/>
            </w:r>
          </w:p>
        </w:tc>
        <w:tc>
          <w:tcPr>
            <w:tcW w:w="1292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Grupo 1</w:t>
            </w:r>
          </w:p>
        </w:tc>
        <w:tc>
          <w:tcPr>
            <w:tcW w:w="1210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Grupo2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2000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2001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  <w:tr>
        <w:trPr>
          <w:trHeight w:val="315" w:hRule="atLeast"/>
        </w:trPr>
        <w:tc>
          <w:tcPr>
            <w:tcW w:w="1238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92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  <w:tc>
          <w:tcPr>
            <w:tcW w:w="121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...</w:t>
            </w:r>
          </w:p>
        </w:tc>
      </w:tr>
      <w:tr>
        <w:trPr>
          <w:trHeight w:val="330" w:hRule="atLeast"/>
        </w:trPr>
        <w:tc>
          <w:tcPr>
            <w:tcW w:w="1238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2017</w:t>
            </w:r>
          </w:p>
        </w:tc>
        <w:tc>
          <w:tcPr>
            <w:tcW w:w="1292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  <w:tc>
          <w:tcPr>
            <w:tcW w:w="1210" w:type="dxa"/>
            <w:tcBorders>
              <w:top w:val="single" w:sz="8" w:space="0" w:color="00000A"/>
              <w:bottom w:val="single" w:sz="8" w:space="0" w:color="00000A"/>
              <w:insideH w:val="single" w:sz="8" w:space="0" w:color="00000A"/>
            </w:tcBorders>
            <w:shd w:fill="FFFFFF" w:val="clear"/>
            <w:vAlign w:val="bottom"/>
          </w:tcPr>
          <w:p>
            <w:pPr>
              <w:pStyle w:val="Normal"/>
              <w:spacing w:before="0" w:after="0"/>
              <w:ind w:left="0" w:right="0" w:hanging="0"/>
              <w:jc w:val="center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/>
                <w:lang w:eastAsia="pt-BR"/>
              </w:rPr>
              <w:t>%</w:t>
            </w:r>
          </w:p>
        </w:tc>
      </w:tr>
    </w:tbl>
    <w:p>
      <w:pPr>
        <w:pStyle w:val="TableCaption"/>
        <w:spacing w:lineRule="auto" w:line="240" w:before="0" w:after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Fonte: SOBRENOME, ANO</w:t>
      </w:r>
    </w:p>
    <w:p>
      <w:pPr>
        <w:pStyle w:val="Normal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Conclusão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  <w:t>Nesta seção são apresentadas as conclusões do trabalho.</w:t>
      </w:r>
    </w:p>
    <w:p>
      <w:pPr>
        <w:pStyle w:val="ListParagraph"/>
        <w:spacing w:before="0" w:after="120"/>
        <w:ind w:left="927" w:right="0" w:firstLine="567"/>
        <w:jc w:val="both"/>
        <w:rPr/>
      </w:pPr>
      <w:r>
        <w:rPr/>
      </w:r>
    </w:p>
    <w:p>
      <w:pPr>
        <w:pStyle w:val="Ttulo2"/>
        <w:ind w:left="0" w:right="0" w:firstLine="567"/>
        <w:rPr/>
      </w:pPr>
      <w:r>
        <w:rPr/>
        <w:t>Referências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C. Chatfield (1978) The Holt-Winters Forecasting Procedure Journal of the Royal Statistical Society. Series C (Applied Statistics) Vol. 27, No. 3, pp. 264-279</w:t>
      </w:r>
    </w:p>
    <w:p>
      <w:pPr>
        <w:pStyle w:val="Citaes"/>
        <w:rPr/>
      </w:pPr>
      <w:r>
        <w:rPr>
          <w:sz w:val="18"/>
          <w:szCs w:val="18"/>
        </w:rPr>
        <w:t xml:space="preserve">C. C. Holt (1957) Forecasting seasonals and trends by exponentially weighted moving averages, ONR Research Memorandum, Carnegie Institute of Technology 52. (reprint at </w:t>
      </w:r>
      <w:hyperlink r:id="rId4">
        <w:r>
          <w:rPr>
            <w:rStyle w:val="LinkdaInternet"/>
            <w:sz w:val="18"/>
            <w:szCs w:val="18"/>
          </w:rPr>
          <w:t>http://dx.doi.org/10.1016/j.ijforecast.2003.09.015</w:t>
        </w:r>
      </w:hyperlink>
      <w:r>
        <w:rPr>
          <w:sz w:val="18"/>
          <w:szCs w:val="18"/>
        </w:rPr>
        <w:t>).</w:t>
      </w:r>
    </w:p>
    <w:p>
      <w:pPr>
        <w:pStyle w:val="Citaes"/>
        <w:rPr>
          <w:sz w:val="18"/>
          <w:szCs w:val="18"/>
        </w:rPr>
      </w:pPr>
      <w:r>
        <w:rPr>
          <w:sz w:val="18"/>
          <w:szCs w:val="18"/>
        </w:rPr>
        <w:t>P. R. Winters (1960) Forecasting sales by exponentially weighted moving averages, Management Science 6, 324–342.</w:t>
      </w:r>
    </w:p>
    <w:p>
      <w:pPr>
        <w:pStyle w:val="Citaes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 xml:space="preserve">Ao final do trabalho, todas as referências citadas deverão ser ordenadas alfabeticamente de acordo com o sobrenome do primeiro autor, </w:t>
      </w:r>
      <w:r>
        <w:rPr/>
        <w:t xml:space="preserve">com fonte </w:t>
      </w:r>
      <w:r>
        <w:rPr>
          <w:i/>
        </w:rPr>
        <w:t>Arial</w:t>
      </w:r>
      <w:r>
        <w:rPr/>
        <w:t>, tamanho 9, espaçamento simples (Use estilo Citação). Veja o exemplo:</w:t>
      </w:r>
    </w:p>
    <w:p>
      <w:pPr>
        <w:pStyle w:val="Normal"/>
        <w:spacing w:before="0" w:after="0"/>
        <w:rPr/>
      </w:pPr>
      <w:r>
        <w:rPr/>
      </w:r>
    </w:p>
    <w:p>
      <w:pPr>
        <w:pStyle w:val="Quote"/>
        <w:jc w:val="both"/>
        <w:rPr/>
      </w:pPr>
      <w:r>
        <w:rPr/>
        <w:t xml:space="preserve">SOBRENOME, Nome. </w:t>
      </w:r>
      <w:r>
        <w:rPr>
          <w:b/>
        </w:rPr>
        <w:t>Título:</w:t>
      </w:r>
      <w:r>
        <w:rPr/>
        <w:t xml:space="preserve"> subtítulo (se houver sem negrito). Edição (se houver). Local de publicação: Editora, data de publicação da obra.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>
          <w:rFonts w:cs="Arial"/>
        </w:rPr>
        <w:t>As referências citadas no texto devem conter o sobrenome do(s) autor(es), seguido pelo ano da publicação.  A título de exemplificação são apresentadas as normas de citação indireta de acordo com as normas da ABNT: a) N</w:t>
      </w:r>
      <w:r>
        <w:rPr>
          <w:rFonts w:cs="Arial"/>
          <w:color w:val="000000"/>
          <w:highlight w:val="white"/>
        </w:rPr>
        <w:t>ome do(s) autor(es) aparece(m) ao final da citação</w:t>
      </w:r>
      <w:r>
        <w:rPr>
          <w:rFonts w:cs="Arial"/>
        </w:rPr>
        <w:t xml:space="preserve"> (Ex.: DACHS e SANTOS, 2006; NERI, 2007; </w:t>
      </w:r>
      <w:r>
        <w:rPr>
          <w:rFonts w:cs="Arial"/>
          <w:color w:val="000000"/>
          <w:highlight w:val="white"/>
        </w:rPr>
        <w:t>BLAZER</w:t>
      </w:r>
      <w:r>
        <w:rPr>
          <w:rFonts w:cs="Arial"/>
        </w:rPr>
        <w:t>, 2008); b) No caso do a</w:t>
      </w:r>
      <w:r>
        <w:rPr>
          <w:rFonts w:cs="Arial"/>
          <w:color w:val="000000"/>
          <w:highlight w:val="white"/>
        </w:rPr>
        <w:t>utor ser parte integrante do texto (Ex.:</w:t>
      </w:r>
      <w:r>
        <w:rPr>
          <w:rFonts w:cs="Arial"/>
        </w:rPr>
        <w:t xml:space="preserve"> Dachs e Santos (2006) verificaram que ....)</w:t>
      </w:r>
    </w:p>
    <w:p>
      <w:pPr>
        <w:pStyle w:val="Normal"/>
        <w:spacing w:before="0" w:after="0"/>
        <w:rPr/>
      </w:pPr>
      <w:r>
        <w:rPr/>
        <w:t>Todas as referências devem ser apresentadas de modo adequado respeitando as normas da ABNT. A veracidade das informações contidas na listagem de referências é de responsabilidade exclusiva do(s) autor(es).</w:t>
      </w:r>
    </w:p>
    <w:p>
      <w:pPr>
        <w:pStyle w:val="Ttulo2"/>
        <w:ind w:left="0" w:right="0" w:firstLine="567"/>
        <w:rPr/>
      </w:pPr>
      <w:r>
        <w:rPr/>
        <w:t>Anexo</w:t>
      </w:r>
    </w:p>
    <w:p>
      <w:pPr>
        <w:pStyle w:val="Normal"/>
        <w:rPr/>
      </w:pPr>
      <w:r>
        <w:rPr/>
        <w:t xml:space="preserve">Inclua no anexo o script de comandos do R. </w:t>
      </w:r>
    </w:p>
    <w:p>
      <w:pPr>
        <w:pStyle w:val="Normal"/>
        <w:spacing w:before="280" w:after="280"/>
        <w:jc w:val="center"/>
        <w:rPr/>
      </w:pPr>
      <w:r>
        <w:rPr>
          <w:b/>
        </w:rPr>
        <w:t>Leia também o “</w:t>
      </w:r>
      <w:r>
        <w:rPr>
          <w:b/>
          <w:i/>
        </w:rPr>
        <w:t xml:space="preserve">Regulamento para submissão de artigos” </w:t>
      </w:r>
      <w:r>
        <w:rPr>
          <w:b/>
        </w:rPr>
        <w:t>(que resume as informações apresentadas neste Template) disponibilizados no site do evento (</w:t>
      </w:r>
      <w:hyperlink r:id="rId5">
        <w:r>
          <w:rPr>
            <w:rStyle w:val="LinkdaInternet"/>
            <w:b/>
          </w:rPr>
          <w:t>www.ser.uff.br</w:t>
        </w:r>
      </w:hyperlink>
      <w:r>
        <w:rPr>
          <w:b/>
        </w:rPr>
        <w:t>).</w:t>
      </w:r>
    </w:p>
    <w:sectPr>
      <w:headerReference w:type="default" r:id="rId6"/>
      <w:footnotePr>
        <w:numFmt w:val="decimal"/>
      </w:footnotePr>
      <w:type w:val="nextPage"/>
      <w:pgSz w:w="11906" w:h="16838"/>
      <w:pgMar w:left="1418" w:right="1418" w:header="567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New York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/>
        <w:footnoteRef/>
        <w:tab/>
      </w:r>
      <w:r>
        <w:rPr/>
        <w:t>Instituto Brasileiro de Geografia e Estatística (IBGE), walter.pina@ibge.gov.br</w:t>
      </w:r>
    </w:p>
  </w:footnote>
  <w:footnote w:id="3">
    <w:p>
      <w:pPr>
        <w:pStyle w:val="Footnotetext"/>
        <w:rPr/>
      </w:pPr>
      <w:r>
        <w:rPr/>
        <w:footnoteRef/>
        <w:tab/>
      </w:r>
      <w:r>
        <w:rPr/>
        <w:t>Fundação Getúlio Vargas (FGV), pedro.guilherme@fgv.br</w:t>
      </w:r>
    </w:p>
  </w:footnote>
  <w:footnote w:id="4">
    <w:p>
      <w:pPr>
        <w:pStyle w:val="Footnotetext"/>
        <w:rPr/>
      </w:pPr>
      <w:r>
        <w:rPr/>
        <w:footnoteRef/>
        <w:tab/>
      </w:r>
      <w:r>
        <w:rPr/>
        <w:t>Universidade do Estado do Rio de Janeiro (UERJ), professorjmpf@hotmail.com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0" w:right="0" w:hanging="0"/>
      <w:rPr/>
    </w:pPr>
    <w:r>
      <w:rPr/>
      <w:drawing>
        <wp:inline distT="0" distB="0" distL="0" distR="0">
          <wp:extent cx="5725160" cy="682625"/>
          <wp:effectExtent l="0" t="0" r="0" b="0"/>
          <wp:docPr id="2" name="Imagem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2516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rPr>
        <w:rFonts w:cs="Arial"/>
        <w:sz w:val="20"/>
        <w:szCs w:val="20"/>
        <w:lang w:val="en-US"/>
      </w:rPr>
    </w:pPr>
    <w:r>
      <w:rPr>
        <w:rFonts w:cs="Arial"/>
        <w:sz w:val="20"/>
        <w:szCs w:val="20"/>
        <w:lang w:val="en-US"/>
      </w:rPr>
    </w:r>
  </w:p>
</w:hdr>
</file>

<file path=word/settings.xml><?xml version="1.0" encoding="utf-8"?>
<w:settings xmlns:w="http://schemas.openxmlformats.org/wordprocessingml/2006/main">
  <w:zoom w:percent="120"/>
  <w:defaultTabStop w:val="708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 w:before="0" w:after="120"/>
      <w:ind w:left="0" w:right="0" w:firstLine="567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autoRedefine/>
    <w:qFormat/>
    <w:pPr>
      <w:keepNext/>
      <w:keepLines/>
      <w:spacing w:before="120" w:after="120"/>
      <w:ind w:left="0" w:right="0" w:firstLine="567"/>
      <w:jc w:val="center"/>
      <w:outlineLvl w:val="0"/>
    </w:pPr>
    <w:rPr>
      <w:rFonts w:eastAsia="Calibri" w:cs="Tahoma"/>
      <w:b/>
      <w:caps/>
      <w:sz w:val="24"/>
      <w:szCs w:val="32"/>
    </w:rPr>
  </w:style>
  <w:style w:type="paragraph" w:styleId="Ttulo2">
    <w:name w:val="Heading 2"/>
    <w:basedOn w:val="Normal"/>
    <w:next w:val="Normal"/>
    <w:qFormat/>
    <w:pPr>
      <w:keepNext/>
      <w:keepLines/>
      <w:spacing w:before="120" w:after="120"/>
      <w:ind w:left="0" w:right="0" w:firstLine="567"/>
      <w:outlineLvl w:val="1"/>
    </w:pPr>
    <w:rPr>
      <w:rFonts w:eastAsia="Calibri" w:cs="Tahoma"/>
      <w:b/>
      <w:szCs w:val="26"/>
    </w:rPr>
  </w:style>
  <w:style w:type="paragraph" w:styleId="Ttulo3">
    <w:name w:val="Heading 3"/>
    <w:basedOn w:val="Normal"/>
    <w:next w:val="Normal"/>
    <w:qFormat/>
    <w:pPr>
      <w:keepNext/>
      <w:keepLines/>
      <w:spacing w:before="40" w:after="0"/>
      <w:ind w:left="0" w:right="0" w:firstLine="567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character" w:styleId="Ttulo1Char">
    <w:name w:val="Título 1 Char"/>
    <w:basedOn w:val="DefaultParagraphFont"/>
    <w:qFormat/>
    <w:rPr>
      <w:rFonts w:ascii="Arial" w:hAnsi="Arial" w:eastAsia="Calibri" w:cs="Tahoma"/>
      <w:b/>
      <w:caps/>
      <w:sz w:val="24"/>
      <w:szCs w:val="32"/>
    </w:rPr>
  </w:style>
  <w:style w:type="character" w:styleId="Ttulo2Char">
    <w:name w:val="Título 2 Char"/>
    <w:basedOn w:val="DefaultParagraphFont"/>
    <w:qFormat/>
    <w:rPr>
      <w:rFonts w:ascii="Arial" w:hAnsi="Arial" w:eastAsia="Calibri" w:cs="Tahoma"/>
      <w:b/>
      <w:szCs w:val="26"/>
    </w:rPr>
  </w:style>
  <w:style w:type="character" w:styleId="CorpodetextoChar">
    <w:name w:val="Corpo de texto Char"/>
    <w:basedOn w:val="DefaultParagraphFont"/>
    <w:qFormat/>
    <w:rPr>
      <w:rFonts w:ascii="New York" w:hAnsi="New York" w:eastAsia="Times New Roman" w:cs="Courier New"/>
      <w:sz w:val="24"/>
      <w:szCs w:val="20"/>
      <w:lang w:val="en-AU" w:eastAsia="ar-SA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CitaoChar">
    <w:name w:val="Citação Char"/>
    <w:basedOn w:val="DefaultParagraphFont"/>
    <w:qFormat/>
    <w:rPr>
      <w:rFonts w:ascii="Arial" w:hAnsi="Arial"/>
      <w:iCs/>
      <w:color w:val="000000"/>
      <w:sz w:val="18"/>
    </w:rPr>
  </w:style>
  <w:style w:type="character" w:styleId="SubtleReference">
    <w:name w:val="Subtle Reference"/>
    <w:basedOn w:val="DefaultParagraphFont"/>
    <w:qFormat/>
    <w:rPr>
      <w:rFonts w:ascii="Arial" w:hAnsi="Arial"/>
      <w:caps w:val="false"/>
      <w:smallCaps w:val="false"/>
      <w:vanish w:val="false"/>
      <w:color w:val="00000A"/>
      <w:sz w:val="18"/>
    </w:rPr>
  </w:style>
  <w:style w:type="character" w:styleId="A">
    <w:name w:val="a"/>
    <w:basedOn w:val="DefaultParagraphFont"/>
    <w:qFormat/>
    <w:rPr/>
  </w:style>
  <w:style w:type="character" w:styleId="L6">
    <w:name w:val="l6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Segoe UI" w:hAnsi="Segoe UI" w:cs="Segoe UI"/>
      <w:sz w:val="18"/>
      <w:szCs w:val="18"/>
    </w:rPr>
  </w:style>
  <w:style w:type="character" w:styleId="TextodenotaderodapChar">
    <w:name w:val="Texto de nota de rodapé Char"/>
    <w:basedOn w:val="DefaultParagraphFont"/>
    <w:qFormat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SubttuloChar">
    <w:name w:val="Subtítulo Char"/>
    <w:basedOn w:val="DefaultParagraphFont"/>
    <w:qFormat/>
    <w:rPr>
      <w:rFonts w:eastAsia="Calibri"/>
      <w:color w:val="5A5A5A"/>
      <w:spacing w:val="15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uppressAutoHyphens w:val="true"/>
      <w:jc w:val="left"/>
    </w:pPr>
    <w:rPr>
      <w:rFonts w:ascii="New York" w:hAnsi="New York" w:eastAsia="Times New Roman" w:cs="Courier New"/>
      <w:sz w:val="24"/>
      <w:szCs w:val="20"/>
      <w:lang w:val="en-AU" w:eastAsia="ar-SA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Default">
    <w:name w:val="Default"/>
    <w:qFormat/>
    <w:pPr>
      <w:widowControl w:val="false"/>
      <w:overflowPunct w:val="false"/>
      <w:bidi w:val="0"/>
      <w:spacing w:lineRule="auto" w:line="240" w:before="0" w:after="0"/>
      <w:jc w:val="left"/>
    </w:pPr>
    <w:rPr>
      <w:rFonts w:ascii="Courier" w:hAnsi="Courier" w:eastAsia="Times New Roman" w:cs="Courier"/>
      <w:color w:val="000000"/>
      <w:sz w:val="24"/>
      <w:szCs w:val="24"/>
      <w:lang w:val="en-GB" w:eastAsia="en-GB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Times New Roman" w:hAnsi="Times New Roman" w:eastAsia="Calibri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120" w:after="0"/>
      <w:ind w:left="0" w:right="0" w:hanging="0"/>
      <w:contextualSpacing/>
      <w:jc w:val="center"/>
    </w:pPr>
    <w:rPr/>
  </w:style>
  <w:style w:type="paragraph" w:styleId="Quote">
    <w:name w:val="Quote"/>
    <w:basedOn w:val="Normal"/>
    <w:qFormat/>
    <w:pPr/>
    <w:rPr>
      <w:iCs/>
      <w:color w:val="000000"/>
      <w:sz w:val="18"/>
      <w:highlight w:val="white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both"/>
    </w:pPr>
    <w:rPr>
      <w:rFonts w:ascii="Arial" w:hAnsi="Arial" w:eastAsia="Calibri" w:cs="Tahoma"/>
      <w:color w:val="00000A"/>
      <w:sz w:val="22"/>
      <w:szCs w:val="22"/>
      <w:lang w:val="pt-BR" w:eastAsia="en-US" w:bidi="ar-SA"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aption">
    <w:name w:val="Table_Caption"/>
    <w:basedOn w:val="Normal"/>
    <w:qFormat/>
    <w:pPr>
      <w:keepNext/>
      <w:spacing w:lineRule="auto" w:line="276" w:before="240" w:after="120"/>
      <w:ind w:left="0" w:right="0" w:hanging="0"/>
      <w:jc w:val="center"/>
    </w:pPr>
    <w:rPr>
      <w:rFonts w:ascii="Calibri" w:hAnsi="Calibri" w:eastAsia="Times New Roman" w:cs="Arial"/>
      <w:sz w:val="20"/>
      <w:szCs w:val="24"/>
    </w:rPr>
  </w:style>
  <w:style w:type="paragraph" w:styleId="Caption">
    <w:name w:val="caption"/>
    <w:basedOn w:val="Normal"/>
    <w:next w:val="Normal"/>
    <w:autoRedefine/>
    <w:qFormat/>
    <w:pPr>
      <w:spacing w:before="0" w:after="0"/>
      <w:ind w:left="0" w:right="0" w:hanging="0"/>
      <w:jc w:val="center"/>
    </w:pPr>
    <w:rPr>
      <w:rFonts w:eastAsia="Times New Roman" w:cs="Arial"/>
    </w:rPr>
  </w:style>
  <w:style w:type="paragraph" w:styleId="Footnotetext">
    <w:name w:val="footnote text"/>
    <w:basedOn w:val="Normal"/>
    <w:qFormat/>
    <w:pPr>
      <w:spacing w:before="0" w:after="0"/>
    </w:pPr>
    <w:rPr>
      <w:sz w:val="20"/>
      <w:szCs w:val="20"/>
    </w:rPr>
  </w:style>
  <w:style w:type="paragraph" w:styleId="Subttulo">
    <w:name w:val="Subtitle"/>
    <w:basedOn w:val="Normal"/>
    <w:next w:val="Normal"/>
    <w:qFormat/>
    <w:pPr>
      <w:spacing w:before="0" w:after="160"/>
      <w:ind w:left="0" w:right="0" w:firstLine="567"/>
    </w:pPr>
    <w:rPr>
      <w:rFonts w:ascii="Calibri" w:hAnsi="Calibri" w:eastAsia="Calibri"/>
      <w:color w:val="5A5A5A"/>
      <w:spacing w:val="15"/>
    </w:rPr>
  </w:style>
  <w:style w:type="paragraph" w:styleId="Notaderodap">
    <w:name w:val="Footnote Text"/>
    <w:basedOn w:val="Normal"/>
    <w:pPr/>
    <w:rPr/>
  </w:style>
  <w:style w:type="paragraph" w:styleId="Textoprformatado">
    <w:name w:val="Texto préformatad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er.uff.br/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dx.doi.org/10.1016/j.ijforecast.2003.09.015" TargetMode="External"/><Relationship Id="rId5" Type="http://schemas.openxmlformats.org/officeDocument/2006/relationships/hyperlink" Target="http://www.ser.uff.br/" TargetMode="External"/><Relationship Id="rId6" Type="http://schemas.openxmlformats.org/officeDocument/2006/relationships/header" Target="header1.xml"/><Relationship Id="rId7" Type="http://schemas.openxmlformats.org/officeDocument/2006/relationships/footnotes" Target="footnotes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Application>LibreOffice/5.3.1.2$Windows_x86 LibreOffice_project/e80a0e0fd1875e1696614d24c32df0f95f03deb2</Application>
  <Pages>6</Pages>
  <Words>1541</Words>
  <Characters>8376</Characters>
  <CharactersWithSpaces>9847</CharactersWithSpaces>
  <Paragraphs>90</Paragraphs>
  <Company>Lancaster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2017-11-17T14:15:00Z</dcterms:created>
  <dc:creator>SER</dc:creator>
  <dc:description/>
  <dc:language>pt-BR</dc:language>
  <cp:lastModifiedBy>Humberto </cp:lastModifiedBy>
  <cp:lastPrinted>2017-11-17T15:10:00Z</cp:lastPrinted>
  <dcterms:modified xsi:type="dcterms:W3CDTF">2018-03-06T16:29:08Z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Lancaster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