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5.emf" ContentType="image/x-emf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SARIMA, HOLT-WINTERS e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, IBGE. </w:t>
      </w:r>
    </w:p>
    <w:p>
      <w:pPr>
        <w:pStyle w:val="Normal"/>
        <w:jc w:val="center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  <w:t>Abstract</w:t>
      </w:r>
    </w:p>
    <w:p>
      <w:pPr>
        <w:pStyle w:val="NoSpacing"/>
        <w:jc w:val="both"/>
        <w:rPr/>
      </w:pPr>
      <w:r>
        <w:rPr>
          <w:lang w:val="en-US" w:eastAsia="en-US" w:bidi="ar-SA"/>
        </w:rPr>
        <w:t xml:space="preserve">An analysis of a uni-variate time series was made, using SARIMA and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en-US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  <w:lang w:val="en-US" w:eastAsia="en-US" w:bidi="ar-SA"/>
        </w:rPr>
        <w:t xml:space="preserve">Keywords: </w:t>
      </w:r>
      <w:r>
        <w:rPr>
          <w:b w:val="false"/>
          <w:bCs w:val="false"/>
          <w:lang w:val="en-US" w:eastAsia="en-US" w:bidi="ar-SA"/>
        </w:rPr>
        <w:t>Time series, sarima,  Holt-Winters, neural network</w:t>
      </w:r>
      <w:r>
        <w:rPr>
          <w:b w:val="false"/>
          <w:bCs w:val="false"/>
        </w:rPr>
        <w:t>.</w:t>
      </w:r>
    </w:p>
    <w:p>
      <w:pPr>
        <w:pStyle w:val="Ttulo2"/>
        <w:ind w:left="0" w:right="0" w:firstLine="567"/>
        <w:rPr/>
      </w:pPr>
      <w:r>
        <w:rPr/>
        <w:t xml:space="preserve">1- </w:t>
      </w:r>
      <w:r>
        <w:rPr/>
        <w:t>Introdução</w:t>
      </w:r>
    </w:p>
    <w:p>
      <w:pPr>
        <w:pStyle w:val="Normal"/>
        <w:rPr/>
      </w:pPr>
      <w:r>
        <w:rPr/>
        <w:t>Séries temporais, importância,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 xml:space="preserve">2- </w:t>
      </w:r>
      <w:r>
        <w:rPr/>
        <w:t>Objetivo</w:t>
      </w:r>
    </w:p>
    <w:p>
      <w:pPr>
        <w:pStyle w:val="Normal"/>
        <w:spacing w:before="0" w:after="0"/>
        <w:rPr/>
      </w:pPr>
      <w:r>
        <w:rPr/>
        <w:t xml:space="preserve">È feita uma comparação de três metodologias diferentes de análise para uma série temporal de variável econômica, </w:t>
      </w:r>
      <w:r>
        <w:rPr/>
        <w:t>apresentando brevemente a fundamentação teórica de cada uma</w:t>
      </w:r>
      <w:r>
        <w:rPr/>
        <w:t>.</w:t>
      </w:r>
    </w:p>
    <w:p>
      <w:pPr>
        <w:pStyle w:val="Ttulo2"/>
        <w:ind w:left="0" w:right="0" w:firstLine="567"/>
        <w:rPr/>
      </w:pPr>
      <w:r>
        <w:rPr/>
        <w:t xml:space="preserve">3- </w:t>
      </w:r>
      <w:r>
        <w:rPr/>
        <w:t>Material e Método</w:t>
      </w:r>
    </w:p>
    <w:p>
      <w:pPr>
        <w:pStyle w:val="Normal"/>
        <w:spacing w:before="0" w:after="0"/>
        <w:rPr/>
      </w:pPr>
      <w:r>
        <w:rPr/>
        <w:t xml:space="preserve">A série temporal a ser analisada pertence ao IBGE e tem dados sobre o volume de vendas do comércio varejista ampliado (VVCVA) entre Janeiro de 2003 e Dezembro de 2011 com Índice de base fixa 2003 = 100. A série inclui além do comércio varejista, os setores de </w:t>
      </w:r>
      <w:r>
        <w:rPr/>
        <w:t>“Veículos, motocicletas, partes e peças”</w:t>
      </w:r>
      <w:r>
        <w:rPr/>
        <w:t xml:space="preserve"> e “Material de construção” </w:t>
      </w:r>
      <w:r>
        <w:rPr/>
        <w:t>sendo</w:t>
      </w:r>
      <w:r>
        <w:rPr/>
        <w:t xml:space="preserve"> extraída em Janeiro de 2018.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3.1 </w:t>
      </w:r>
      <w:r>
        <w:rPr/>
        <w:t>Modelo SARIMA</w:t>
      </w:r>
      <w:r>
        <w:rPr/>
        <w:fldChar w:fldCharType="begin"/>
      </w:r>
      <w:r>
        <w:instrText> PAGE </w:instrText>
      </w:r>
      <w:r>
        <w:fldChar w:fldCharType="separate"/>
      </w:r>
      <w:r>
        <w:t>2</w:t>
      </w:r>
      <w:r>
        <w:fldChar w:fldCharType="end"/>
      </w:r>
      <w:r>
        <w:rPr/>
        <w:fldChar w:fldCharType="begin"/>
      </w:r>
      <w:r>
        <w:instrText> PAGE </w:instrText>
      </w:r>
      <w:r>
        <w:fldChar w:fldCharType="separate"/>
      </w:r>
      <w:r>
        <w:t>2</w:t>
      </w:r>
      <w:r>
        <w:fldChar w:fldCharType="end"/>
      </w:r>
    </w:p>
    <w:p>
      <w:pPr>
        <w:pStyle w:val="Normal"/>
        <w:spacing w:before="0" w:after="0"/>
        <w:rPr/>
      </w:pPr>
      <w:r>
        <w:rPr/>
        <w:t xml:space="preserve">Um dos modelos mais usados na presença de sazonalidade é o autorregressão de médias móveis ou ARIMA. Na presença de sazonalidade ele é chamado de SARIMA. </w:t>
      </w:r>
    </w:p>
    <w:p>
      <w:pPr>
        <w:pStyle w:val="Normal"/>
        <w:spacing w:before="0" w:after="0"/>
        <w:rPr/>
      </w:pPr>
      <w:r>
        <w:rPr/>
        <w:t>As etapas de análise incluem a especificação, identificação, estimação, diagnóstico e finalmente a predição.</w:t>
      </w:r>
    </w:p>
    <w:p>
      <w:pPr>
        <w:pStyle w:val="Normal"/>
        <w:spacing w:before="0" w:after="0"/>
        <w:rPr/>
      </w:pPr>
      <w:r>
        <w:rPr/>
        <w:t>Na especificação, é feita….</w:t>
      </w:r>
    </w:p>
    <w:p>
      <w:pPr>
        <w:pStyle w:val="Normal"/>
        <w:spacing w:before="0" w:after="0"/>
        <w:rPr/>
      </w:pPr>
      <w:r>
        <w:rPr/>
        <w:t>Na identificação ….</w:t>
      </w:r>
    </w:p>
    <w:p>
      <w:pPr>
        <w:pStyle w:val="Normal"/>
        <w:spacing w:before="0" w:after="0"/>
        <w:rPr/>
      </w:pPr>
      <w:r>
        <w:rPr/>
        <w:t>Na etapa de estimação…</w:t>
      </w:r>
    </w:p>
    <w:p>
      <w:pPr>
        <w:pStyle w:val="Normal"/>
        <w:spacing w:before="0" w:after="0"/>
        <w:rPr/>
      </w:pPr>
      <w:r>
        <w:rPr/>
        <w:t>No diagnóstico…</w:t>
      </w:r>
    </w:p>
    <w:p>
      <w:pPr>
        <w:pStyle w:val="Normal"/>
        <w:spacing w:before="0" w:after="0"/>
        <w:rPr/>
      </w:pPr>
      <w:r>
        <w:rPr/>
        <w:t>Finalmente na predição…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3.2 </w:t>
      </w:r>
      <w:r>
        <w:rPr/>
        <w:t xml:space="preserve">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/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Corpodetexto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/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3.3 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>Rede Neural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Redes neurais estão baseadas na arquitetura de aprendizagem de organismos inteligentes, que aprendem através da experiência. A partir dos trabalhos de Santiago Ramón y Cajal sobre a estrutura microscópica do cérebro e o funcionamento dos neurônios a começos do século XX, McCulloch e Pitts fizeram o primeiro modelo computacional simulando o comportamento de um neurônio biológico.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estrutura da rede neural em séries temporais é composta de uma camada de entrada, uma ou mais camadas ocultas e uma camada de saída. Os valores da série temporal passam por uma função de normalização na camada de entrada e é dado um peso, inicialmente aleatório, para serem enviados às camadas ocultas.</w:t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termo adicional de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momentum,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que introduze um efeito de inércia e ajuda a amortecer as oscilações em torno da melhor solução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.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O pacote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R neuralnet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implementa a metodologia mencionada anteriormente, possibilitando o cálculo de intervalo de confiança para os pesos e gerar gráficos diversos.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4- 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>Resultados e Discussão</w:t>
      </w:r>
    </w:p>
    <w:p>
      <w:pPr>
        <w:pStyle w:val="Normal"/>
        <w:rPr/>
      </w:pPr>
      <w:r>
        <w:rPr/>
        <w:t>4.</w:t>
      </w:r>
      <w:r>
        <w:rPr/>
        <w:t>1 - Modelo SARIMA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2 - Modelo Holt-Winters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429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0" t="976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4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</w:t>
      </w:r>
      <w:r>
        <w:rPr/>
        <w:t xml:space="preserve">Decomposição da série com a função </w:t>
      </w:r>
      <w:r>
        <w:rPr>
          <w:i/>
          <w:iCs/>
        </w:rPr>
        <w:t>stats::HoltWinters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728595"/>
            <wp:effectExtent l="0" t="0" r="0" b="0"/>
            <wp:wrapSquare wrapText="largest"/>
            <wp:docPr id="2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0" t="9762" r="4818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285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– </w:t>
      </w:r>
      <w:r>
        <w:rPr/>
        <w:t>Serie original, ajustada e previsão 2012 com intervalo de confiança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574290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20" t="9762" r="4818" b="4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742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>
          <w:b/>
          <w:b/>
        </w:rPr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– </w:t>
      </w:r>
      <w:r>
        <w:rPr/>
        <w:t>Previsão de 2012 com valores reais em azul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3 - Rede Neural</w:t>
      </w:r>
    </w:p>
    <w:p>
      <w:pPr>
        <w:pStyle w:val="Normal"/>
        <w:rPr/>
      </w:pPr>
      <w:r>
        <w:rPr/>
        <w:t xml:space="preserve">Como preparação da série foi aplicada uma função </w:t>
      </w:r>
      <w:r>
        <w:rPr>
          <w:i/>
          <w:iCs/>
        </w:rPr>
        <w:t>log</w:t>
      </w:r>
      <w:r>
        <w:rPr>
          <w:i w:val="false"/>
          <w:iCs w:val="false"/>
        </w:rPr>
        <w:t xml:space="preserve"> para estabilizar a variação e uma diferenciação de primeira ordem com passo de 1 para retirar a tendência. A figura XX apresenta o resultado dessa preparação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0905" cy="2073910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0" t="14772" r="4818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0739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– Serie temporal após preparação dos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 construção da rede neural, definimos os valores da camada de entrada, a quantidade de nós na camada oculta, assim como os valores na camada de saída. Nesse caso foram escolhidos 4 valores de entrada, correspondendo ao valor do mês anterior, o segundo mês anterior, o quarto e o décimo segundo, caracterizando valores anuais, trimestrais e de dois meses prévios. Os nós da camada oculta devem ser suficientes para modelar o fenômeno, nem muitos que ocasionem um </w:t>
      </w:r>
      <w:r>
        <w:rPr>
          <w:i/>
          <w:iCs/>
        </w:rPr>
        <w:t xml:space="preserve">overfitting, </w:t>
      </w:r>
      <w:r>
        <w:rPr>
          <w:i w:val="false"/>
          <w:iCs w:val="false"/>
        </w:rPr>
        <w:t>nem poucos que percam peculiaridades da série. A seguinte tabela apresenta o padrão de escolha de valores de entrada e o correspondente de saída.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object>
          <v:shape id="ole_rId6" style="width:320pt;height:76.8pt" o:ole="">
            <v:imagedata r:id="rId7" o:title=""/>
          </v:shape>
          <o:OLEObject Type="Embed" ProgID="Excel.Sheet.12" ShapeID="ole_rId6" DrawAspect="Content" ObjectID="_878265234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00"/>
        <w:ind w:left="0" w:right="0" w:hanging="0"/>
        <w:rPr>
          <w:rFonts w:ascii="Arial" w:hAnsi="Arial"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ab/>
        <w:t xml:space="preserve">A aprendizagem na rede é feita a partir de uma seleção de amostras, chamadas de treino e teste. Para esse estudo temos um total de 107 padrões dos quais vamos selecionar 95 para o treinamento 12 de teste. Serão usados 8 nós ou neurônios em uma camada oculta. Esse valor foi o melhor encontrado depois de testar de 3 a 10 nós. Os argumentos principais da função </w:t>
      </w:r>
      <w:r>
        <w:rPr>
          <w:rFonts w:eastAsia="Calibri" w:cs="Tahoma"/>
          <w:b w:val="false"/>
          <w:i/>
          <w:iCs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neuralnet</w:t>
      </w:r>
      <w:r>
        <w:rPr>
          <w:rFonts w:eastAsia="Calibri" w:cs="Tahoma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 xml:space="preserve"> são a fórmula  usada (Y ~ X1 + X2 + X3 + X4), os dados de entrada e os nós da camada oculta (8). A rede formada e o treinamento com os valores e pesos finais é apresentada na seguinte figura.</w:t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8895" cy="308546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53" t="-220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0854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spacing w:lineRule="atLeast" w:line="300"/>
        <w:ind w:left="0" w:right="0" w:hanging="0"/>
        <w:rPr>
          <w:b w:val="false"/>
          <w:b w:val="false"/>
          <w:i w:val="false"/>
          <w:i w:val="false"/>
          <w:iCs w:val="false"/>
          <w:caps w:val="false"/>
          <w:smallCaps w:val="false"/>
          <w:spacing w:val="0"/>
        </w:rPr>
      </w:pPr>
      <w:r>
        <w:rPr>
          <w:b w:val="false"/>
          <w:i w:val="false"/>
          <w:iCs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– Rede neural com valores e pesos finais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Após o cálculo da rede, são feitas duas previsões de valores chamadas </w:t>
      </w:r>
      <w:r>
        <w:rPr>
          <w:i/>
          <w:iCs/>
        </w:rPr>
        <w:t xml:space="preserve">in-sample </w:t>
      </w:r>
      <w:r>
        <w:rPr>
          <w:i w:val="false"/>
          <w:iCs w:val="false"/>
        </w:rPr>
        <w:t>e</w:t>
      </w:r>
      <w:r>
        <w:rPr>
          <w:i/>
          <w:iCs/>
        </w:rPr>
        <w:t xml:space="preserve"> out-sample. </w:t>
      </w:r>
      <w:r>
        <w:rPr>
          <w:i w:val="false"/>
          <w:iCs w:val="false"/>
        </w:rPr>
        <w:t>A primeira usando</w:t>
      </w:r>
      <w:r>
        <w:rPr/>
        <w:t xml:space="preserve"> os valores do treinamento e a segunda sobre os valores de teste, previamente separados. As previsões servem para saber a precisão que a rede atinge. Finalmente é feita uma previsão um passo à frente sobre valores fora do intervalo da amostra. Nesse caso prevemos 12 valores para o ano de 2012 que são apresentados como uma linha vermelha, enquanto os valores reais da varável são representados por círculos cheios. Foram incluídos os valores de precisão MAD e MAPE.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795" cy="370078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7" t="9858" r="4853" b="-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7007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t>F</w:t>
      </w:r>
      <w:r>
        <w:rPr>
          <w:b/>
        </w:rPr>
        <w:t xml:space="preserve">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– Previsão para 2012 (linha vermelha), valores reais (pontos) e parâmetros e precisão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Deverá apresentar uma síntese dos resultados encontrados, podendo incluir tabela e/ou figura, desde que a sua inclusão não ultrapasse o limite máximo de QUINZE páginas. Nesta seção devem ser incluídos comentários sobre os resultados e/ou comparação dos achados do estudo com os de outras publicações.</w:t>
      </w:r>
    </w:p>
    <w:p>
      <w:pPr>
        <w:pStyle w:val="Normal"/>
        <w:spacing w:before="0" w:after="0"/>
        <w:rPr/>
      </w:pPr>
      <w:r>
        <w:rPr/>
        <w:t xml:space="preserve">As tabelas e figuras (Entende-se por figuras: gráficos, mapas, fotografias, etc.) devem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>
      <w:pPr>
        <w:pStyle w:val="Normal"/>
        <w:rPr/>
      </w:pPr>
      <w:r>
        <w:rPr/>
        <w:t>Figuras e gráficos devem ser centralizadas, conforme ilustrado na Figura 1. Toda figura deve apresentar uma legenda escrita em parágrafo centralizado em fonte Arial 9 e espaçamento anterior e posterior de 6pt. A Figura 1 busca ilustrar a formatação adotada.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488440" cy="730885"/>
            <wp:effectExtent l="0" t="0" r="0" b="0"/>
            <wp:docPr id="7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– Escrever o título da Figura</w:t>
      </w:r>
    </w:p>
    <w:p>
      <w:pPr>
        <w:pStyle w:val="Normal"/>
        <w:spacing w:before="0" w:after="0"/>
        <w:jc w:val="center"/>
        <w:rPr/>
      </w:pPr>
      <w:r>
        <w:rPr/>
        <w:t>Fonte: SOBRENOME,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Legendas de tabelas devem ser colocadas na parte superior das mesmas, em parágrafo centralizado, tamanho 10 e com espaçamento anterior e posterior de 6 - conforme ilustrado na Tabela 1. As tabelas devem ser formatadas adotando a mesma formatação da Tabela 1.</w:t>
      </w:r>
    </w:p>
    <w:p>
      <w:pPr>
        <w:pStyle w:val="Caption"/>
        <w:rPr/>
      </w:pPr>
      <w:r>
        <w:rPr>
          <w:b/>
        </w:rPr>
        <w:t xml:space="preserve">Tabela </w:t>
      </w:r>
      <w:r>
        <w:rPr>
          <w:b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Tabela.</w:t>
      </w:r>
    </w:p>
    <w:tbl>
      <w:tblPr>
        <w:tblW w:w="3740" w:type="dxa"/>
        <w:jc w:val="center"/>
        <w:tblInd w:w="0" w:type="dxa"/>
        <w:tblBorders>
          <w:top w:val="single" w:sz="8" w:space="0" w:color="00000A"/>
          <w:bottom w:val="single" w:sz="4" w:space="0" w:color="000001"/>
          <w:insideH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238"/>
        <w:gridCol w:w="1292"/>
        <w:gridCol w:w="1210"/>
      </w:tblGrid>
      <w:tr>
        <w:trPr>
          <w:trHeight w:val="315" w:hRule="atLeast"/>
        </w:trPr>
        <w:tc>
          <w:tcPr>
            <w:tcW w:w="1238" w:type="dxa"/>
            <w:vMerge w:val="restart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2" w:type="dxa"/>
            <w:gridSpan w:val="2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>
        <w:trPr>
          <w:trHeight w:val="315" w:hRule="atLeast"/>
        </w:trPr>
        <w:tc>
          <w:tcPr>
            <w:tcW w:w="1238" w:type="dxa"/>
            <w:vMerge w:val="continue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/>
              <w:overflowPunct w:val="false"/>
              <w:bidi w:val="0"/>
              <w:spacing w:lineRule="auto" w:line="360" w:before="0" w:after="120"/>
              <w:ind w:left="0" w:right="0" w:firstLine="567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1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>
        <w:trPr>
          <w:trHeight w:val="330" w:hRule="atLeast"/>
        </w:trPr>
        <w:tc>
          <w:tcPr>
            <w:tcW w:w="1238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>
      <w:pPr>
        <w:pStyle w:val="TableCaption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Fonte: SOBRENOME, ANO</w:t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 xml:space="preserve">5- </w:t>
      </w:r>
      <w:r>
        <w:rPr/>
        <w:t>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 xml:space="preserve">6- </w:t>
      </w:r>
      <w:r>
        <w:rPr/>
        <w:t>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11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 xml:space="preserve">Ao final do trabalho, todas as referências citadas deverão ser ordenadas alfabeticamente de acordo com o sobrenome do primeiro autor, </w:t>
      </w:r>
      <w:r>
        <w:rPr/>
        <w:t xml:space="preserve">com fonte </w:t>
      </w:r>
      <w:r>
        <w:rPr>
          <w:i/>
        </w:rPr>
        <w:t>Arial</w:t>
      </w:r>
      <w:r>
        <w:rPr/>
        <w:t>, tamanho 9, espaçamento simples (Use estilo Citação). Veja o exemplo:</w:t>
      </w:r>
    </w:p>
    <w:p>
      <w:pPr>
        <w:pStyle w:val="Normal"/>
        <w:spacing w:before="0" w:after="0"/>
        <w:rPr/>
      </w:pPr>
      <w:r>
        <w:rPr/>
      </w:r>
    </w:p>
    <w:p>
      <w:pPr>
        <w:pStyle w:val="Quote"/>
        <w:jc w:val="both"/>
        <w:rPr/>
      </w:pPr>
      <w:r>
        <w:rPr/>
        <w:t xml:space="preserve">SOBRENOME, Nome. </w:t>
      </w:r>
      <w:r>
        <w:rPr>
          <w:b/>
        </w:rPr>
        <w:t>Título:</w:t>
      </w:r>
      <w:r>
        <w:rPr/>
        <w:t xml:space="preserve"> subtítulo (se houver sem negrito). Edição (se houver). Local de publicação: Editora, data de publicação da obra.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highlight w:val="white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highlight w:val="white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highlight w:val="white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>Os scripts completos de cada análise podem ser consultados em GitHub</w:t>
      </w:r>
    </w:p>
    <w:p>
      <w:pPr>
        <w:pStyle w:val="Normal"/>
        <w:rPr/>
      </w:pPr>
      <w:r>
        <w:rPr/>
        <w:t>Resumo das principais linhas de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1- Preparação dos dados</w:t>
      </w:r>
    </w:p>
    <w:p>
      <w:pPr>
        <w:pStyle w:val="Normal"/>
        <w:ind w:left="0" w:right="0" w:hanging="0"/>
        <w:rPr/>
      </w:pPr>
      <w:r>
        <w:rPr/>
        <w:t>vendas &lt;- read.csv(".../SER_III/ST/data/IBGE_VVCVA_RN.csv",header=FALSE,</w:t>
      </w:r>
    </w:p>
    <w:p>
      <w:pPr>
        <w:pStyle w:val="Normal"/>
        <w:ind w:left="0" w:right="0" w:hanging="0"/>
        <w:rPr/>
      </w:pPr>
      <w:r>
        <w:rPr/>
        <w:tab/>
        <w:t>stringsAsFactors = F) #transposiçãoo de linha a coluna em dataframe</w:t>
      </w:r>
    </w:p>
    <w:p>
      <w:pPr>
        <w:pStyle w:val="Normal"/>
        <w:ind w:left="0" w:right="0" w:hanging="0"/>
        <w:rPr/>
      </w:pPr>
      <w:r>
        <w:rPr/>
        <w:t>vendas2 &lt;- as.data.frame(t(vendas)) # transformaçãoo em st_Vendas temporal</w:t>
      </w:r>
    </w:p>
    <w:p>
      <w:pPr>
        <w:pStyle w:val="Normal"/>
        <w:ind w:left="0" w:right="0" w:hanging="0"/>
        <w:rPr/>
      </w:pPr>
      <w:r>
        <w:rPr/>
        <w:t>st_Vendas &lt;- ts(vendas2,  start     = c(2003,1),  frequency = 12)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2- SARIMA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 Holt-Winters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HW &lt;- HoltWinters(st_Vendas) # função  </w:t>
      </w:r>
      <w:r>
        <w:rPr>
          <w:b w:val="false"/>
          <w:bCs w:val="false"/>
        </w:rPr>
        <w:t xml:space="preserve">filtrado </w:t>
      </w:r>
      <w:r>
        <w:rPr>
          <w:b w:val="false"/>
          <w:bCs w:val="false"/>
        </w:rPr>
        <w:t>sobre a série temporal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coef &lt;- as.data.frame(HW$coefficients) # coeficientes calculados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 &lt;- predict(HW, 12, prediction.interval = TRUE, level = 0.95) # previsão 12 meses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 O horizonte de previsão calculado é uma matriz de três colunas contendo o valor calculado assim como os limites superior e inferior de confiança ao 95%. Incorporando os valores realmente observados em 2012, e fazendo a diferença entre real e observado temos: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 &lt;- as.data.frame((matrix(round(p,2), 12)), dimnames(seq(1,12,1)))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cbind(hw,vol_2012)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names(hw_res)  &lt;- c("prev", "sup","inf","real")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hw_res &lt;- hw_res %&gt;% mutate(dif = real-prev)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4- Rede Neural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logst_Vendas &lt;-  log(st_Vendas) # estabilizar a variância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delta &lt;- diff(logst_Vendas,lag = 1, differences = 1) # retirar a tendência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normalizado &lt;- (delta-minimo)/(maximo-minimo) # normalização da série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lags &lt;- c(1, 2, 4, 12)  # determinação de lags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 &lt;- max(lags) + 1  # inicar em valor número 13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nobs &lt;- length(normalizado) # número de observações: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modelo_nn &lt;- neuralnet(formula = Y ~ X1+X2+X3+X4, data= data.train[1: ninsample, ],  hidden = 8, linear.output  = F) # treinamento da rede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80" w:after="280"/>
        <w:jc w:val="center"/>
        <w:rPr>
          <w:b/>
          <w:b/>
        </w:rPr>
      </w:pPr>
      <w:r>
        <w:rPr/>
      </w:r>
    </w:p>
    <w:sectPr>
      <w:headerReference w:type="default" r:id="rId12"/>
      <w:footerReference w:type="default" r:id="rId13"/>
      <w:footnotePr>
        <w:numFmt w:val="decimal"/>
      </w:footnotePr>
      <w:type w:val="nextPage"/>
      <w:pgSz w:w="11906" w:h="16838"/>
      <w:pgMar w:left="1418" w:right="1418" w:header="567" w:top="1418" w:footer="1418" w:bottom="195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jc w:val="both"/>
        <w:rPr/>
      </w:pPr>
      <w:r>
        <w:rPr/>
        <w:footnoteRef/>
        <w:tab/>
        <w:t xml:space="preserve"> </w:t>
      </w:r>
      <w:r>
        <w:rPr/>
        <w:t xml:space="preserve">Instituto Brasileiro de Geografia e Estatística (IBGE), </w:t>
      </w:r>
      <w:hyperlink r:id="rId1">
        <w:r>
          <w:rPr>
            <w:rStyle w:val="LinkdaInternet"/>
          </w:rPr>
          <w:t>walter.pina@ibge.gov.br</w:t>
        </w:r>
      </w:hyperlink>
    </w:p>
  </w:footnote>
  <w:footnote w:id="3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Fundação Getúlio Vargas (FGV), </w:t>
      </w:r>
      <w:hyperlink r:id="rId2">
        <w:r>
          <w:rPr>
            <w:rStyle w:val="LinkdaInternet"/>
          </w:rPr>
          <w:t>pedro.guilherme@fgv.br</w:t>
        </w:r>
      </w:hyperlink>
    </w:p>
  </w:footnote>
  <w:footnote w:id="4">
    <w:p>
      <w:pPr>
        <w:pStyle w:val="Footnotetext"/>
        <w:rPr/>
      </w:pPr>
      <w:r>
        <w:rPr/>
        <w:footnoteRef/>
        <w:tab/>
        <w:t xml:space="preserve"> </w:t>
      </w:r>
      <w:r>
        <w:rPr/>
        <w:t xml:space="preserve">Universidade do Estado do Rio de Janeiro (UERJ), </w:t>
      </w:r>
      <w:hyperlink r:id="rId3">
        <w:r>
          <w:rPr>
            <w:rStyle w:val="LinkdaInternet"/>
          </w:rPr>
          <w:t>professorjmpf@hotmail.com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8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fals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package" Target="embeddings/oleObject1.xlsx"/><Relationship Id="rId7" Type="http://schemas.openxmlformats.org/officeDocument/2006/relationships/image" Target="media/image5.emf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dx.doi.org/10.1016/j.ijforecast.2003.09.015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notes" Target="footnotes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walter.pina@ibge.gov.br" TargetMode="External"/><Relationship Id="rId2" Type="http://schemas.openxmlformats.org/officeDocument/2006/relationships/hyperlink" Target="mailto:pedro.guilherme@fgv.br" TargetMode="External"/><Relationship Id="rId3" Type="http://schemas.openxmlformats.org/officeDocument/2006/relationships/hyperlink" Target="mailto:professorjmpf@hotmail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Application>LibreOffice/5.3.1.2$Windows_x86 LibreOffice_project/e80a0e0fd1875e1696614d24c32df0f95f03deb2</Application>
  <Pages>12</Pages>
  <Words>1926</Words>
  <Characters>10374</Characters>
  <CharactersWithSpaces>12229</CharactersWithSpaces>
  <Paragraphs>124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2018-03-07T16:26:34Z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