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563EB"/>
          <w:sz w:val="20"/>
        </w:rPr>
        <w:t>HWB CLEANING SERVICES LLC</w:t>
      </w:r>
    </w:p>
    <w:p>
      <w:pPr>
        <w:spacing w:after="80"/>
      </w:pPr>
      <w:r>
        <w:rPr>
          <w:rFonts w:ascii="Arial" w:hAnsi="Arial"/>
          <w:b/>
          <w:color w:val="0F294A"/>
          <w:sz w:val="40"/>
        </w:rPr>
        <w:t>Master Environmental Health and Safety (EHS) Manual</w:t>
      </w:r>
    </w:p>
    <w:p>
      <w:pPr>
        <w:spacing w:after="240"/>
      </w:pPr>
      <w:r>
        <w:rPr>
          <w:rFonts w:ascii="Arial" w:hAnsi="Arial"/>
          <w:color w:val="475569"/>
          <w:sz w:val="22"/>
        </w:rPr>
        <w:t>Corporate Safety Governance, Hazard Communication &amp; Regulatory Compliance</w:t>
      </w:r>
    </w:p>
    <w:tbl>
      <w:tblPr>
        <w:tblW w:type="auto" w:w="0"/>
        <w:jc w:val="center"/>
        <w:tblLayout w:type="fixed"/>
        <w:tblLook w:firstColumn="1" w:firstRow="1" w:lastColumn="0" w:lastRow="0" w:noHBand="0" w:noVBand="1" w:val="04A0"/>
      </w:tblPr>
      <w:tblGrid>
        <w:gridCol w:w="4320"/>
        <w:gridCol w:w="4320"/>
      </w:tblGrid>
      <w:tr>
        <w:tc>
          <w:tcPr>
            <w:tcW w:type="dxa" w:w="3168"/>
            <w:shd w:fill="F1F5F9"/>
            <w:tcMar>
              <w:top w:w="80" w:type="dxa"/>
              <w:bottom w:w="80" w:type="dxa"/>
              <w:left w:w="120" w:type="dxa"/>
              <w:right w:w="120" w:type="dxa"/>
            </w:tcMar>
          </w:tcPr>
          <w:p>
            <w:pPr>
              <w:spacing w:after="0"/>
            </w:pPr>
            <w:r>
              <w:rPr>
                <w:rFonts w:ascii="Arial" w:hAnsi="Arial"/>
                <w:b/>
                <w:color w:val="0F294A"/>
                <w:sz w:val="19"/>
              </w:rPr>
              <w:t>Document ID</w:t>
            </w:r>
          </w:p>
        </w:tc>
        <w:tc>
          <w:tcPr>
            <w:tcW w:type="dxa" w:w="6192"/>
            <w:shd w:fill="FFFFFF"/>
            <w:tcMar>
              <w:top w:w="80" w:type="dxa"/>
              <w:bottom w:w="80" w:type="dxa"/>
              <w:left w:w="120" w:type="dxa"/>
              <w:right w:w="120" w:type="dxa"/>
            </w:tcMar>
          </w:tcPr>
          <w:p>
            <w:pPr>
              <w:spacing w:after="0"/>
            </w:pPr>
            <w:r>
              <w:rPr>
                <w:rFonts w:ascii="Arial" w:hAnsi="Arial"/>
                <w:color w:val="0F172A"/>
                <w:sz w:val="19"/>
              </w:rPr>
              <w:t>HWB-EHS-001</w:t>
            </w:r>
          </w:p>
        </w:tc>
      </w:tr>
      <w:tr>
        <w:tc>
          <w:tcPr>
            <w:tcW w:type="dxa" w:w="3168"/>
            <w:shd w:fill="F1F5F9"/>
            <w:tcMar>
              <w:top w:w="80" w:type="dxa"/>
              <w:bottom w:w="80" w:type="dxa"/>
              <w:left w:w="120" w:type="dxa"/>
              <w:right w:w="120" w:type="dxa"/>
            </w:tcMar>
          </w:tcPr>
          <w:p>
            <w:pPr>
              <w:spacing w:after="0"/>
            </w:pPr>
            <w:r>
              <w:rPr>
                <w:rFonts w:ascii="Arial" w:hAnsi="Arial"/>
                <w:b/>
                <w:color w:val="0F294A"/>
                <w:sz w:val="19"/>
              </w:rPr>
              <w:t>Version &amp; Status</w:t>
            </w:r>
          </w:p>
        </w:tc>
        <w:tc>
          <w:tcPr>
            <w:tcW w:type="dxa" w:w="6192"/>
            <w:shd w:fill="FFFFFF"/>
            <w:tcMar>
              <w:top w:w="80" w:type="dxa"/>
              <w:bottom w:w="80" w:type="dxa"/>
              <w:left w:w="120" w:type="dxa"/>
              <w:right w:w="120" w:type="dxa"/>
            </w:tcMar>
          </w:tcPr>
          <w:p>
            <w:pPr>
              <w:spacing w:after="0"/>
            </w:pPr>
            <w:r>
              <w:rPr>
                <w:rFonts w:ascii="Arial" w:hAnsi="Arial"/>
                <w:b/>
                <w:color w:val="0F172A"/>
                <w:sz w:val="19"/>
              </w:rPr>
              <w:t>Version 1.0.0 | ● APPROVED</w:t>
            </w:r>
          </w:p>
        </w:tc>
      </w:tr>
      <w:tr>
        <w:tc>
          <w:tcPr>
            <w:tcW w:type="dxa" w:w="3168"/>
            <w:shd w:fill="F1F5F9"/>
            <w:tcMar>
              <w:top w:w="80" w:type="dxa"/>
              <w:bottom w:w="80" w:type="dxa"/>
              <w:left w:w="120" w:type="dxa"/>
              <w:right w:w="120" w:type="dxa"/>
            </w:tcMar>
          </w:tcPr>
          <w:p>
            <w:pPr>
              <w:spacing w:after="0"/>
            </w:pPr>
            <w:r>
              <w:rPr>
                <w:rFonts w:ascii="Arial" w:hAnsi="Arial"/>
                <w:b/>
                <w:color w:val="0F294A"/>
                <w:sz w:val="19"/>
              </w:rPr>
              <w:t>Approval Authority</w:t>
            </w:r>
          </w:p>
        </w:tc>
        <w:tc>
          <w:tcPr>
            <w:tcW w:type="dxa" w:w="6192"/>
            <w:shd w:fill="FFFFFF"/>
            <w:tcMar>
              <w:top w:w="80" w:type="dxa"/>
              <w:bottom w:w="80" w:type="dxa"/>
              <w:left w:w="120" w:type="dxa"/>
              <w:right w:w="120" w:type="dxa"/>
            </w:tcMar>
          </w:tcPr>
          <w:p>
            <w:pPr>
              <w:spacing w:after="0"/>
            </w:pPr>
            <w:r>
              <w:rPr>
                <w:rFonts w:ascii="Arial" w:hAnsi="Arial"/>
                <w:color w:val="0F172A"/>
                <w:sz w:val="19"/>
              </w:rPr>
              <w:t>Humberto Dominguez, CEO</w:t>
            </w:r>
          </w:p>
        </w:tc>
      </w:tr>
      <w:tr>
        <w:tc>
          <w:tcPr>
            <w:tcW w:type="dxa" w:w="3168"/>
            <w:shd w:fill="F1F5F9"/>
            <w:tcMar>
              <w:top w:w="80" w:type="dxa"/>
              <w:bottom w:w="80" w:type="dxa"/>
              <w:left w:w="120" w:type="dxa"/>
              <w:right w:w="120" w:type="dxa"/>
            </w:tcMar>
          </w:tcPr>
          <w:p>
            <w:pPr>
              <w:spacing w:after="0"/>
            </w:pPr>
            <w:r>
              <w:rPr>
                <w:rFonts w:ascii="Arial" w:hAnsi="Arial"/>
                <w:b/>
                <w:color w:val="0F294A"/>
                <w:sz w:val="19"/>
              </w:rPr>
              <w:t>Date of Issuance</w:t>
            </w:r>
          </w:p>
        </w:tc>
        <w:tc>
          <w:tcPr>
            <w:tcW w:type="dxa" w:w="6192"/>
            <w:shd w:fill="FFFFFF"/>
            <w:tcMar>
              <w:top w:w="80" w:type="dxa"/>
              <w:bottom w:w="80" w:type="dxa"/>
              <w:left w:w="120" w:type="dxa"/>
              <w:right w:w="120" w:type="dxa"/>
            </w:tcMar>
          </w:tcPr>
          <w:p>
            <w:pPr>
              <w:spacing w:after="0"/>
            </w:pPr>
            <w:r>
              <w:rPr>
                <w:rFonts w:ascii="Arial" w:hAnsi="Arial"/>
                <w:color w:val="0F172A"/>
                <w:sz w:val="19"/>
              </w:rPr>
              <w:t>September 21, 2026</w:t>
            </w:r>
          </w:p>
        </w:tc>
      </w:tr>
      <w:tr>
        <w:tc>
          <w:tcPr>
            <w:tcW w:type="dxa" w:w="3168"/>
            <w:shd w:fill="F1F5F9"/>
            <w:tcMar>
              <w:top w:w="80" w:type="dxa"/>
              <w:bottom w:w="80" w:type="dxa"/>
              <w:left w:w="120" w:type="dxa"/>
              <w:right w:w="120" w:type="dxa"/>
            </w:tcMar>
          </w:tcPr>
          <w:p>
            <w:pPr>
              <w:spacing w:after="0"/>
            </w:pPr>
            <w:r>
              <w:rPr>
                <w:rFonts w:ascii="Arial" w:hAnsi="Arial"/>
                <w:b/>
                <w:color w:val="0F294A"/>
                <w:sz w:val="19"/>
              </w:rPr>
              <w:t>Regulatory &amp; Standard Alignment</w:t>
            </w:r>
          </w:p>
        </w:tc>
        <w:tc>
          <w:tcPr>
            <w:tcW w:type="dxa" w:w="6192"/>
            <w:shd w:fill="FFFFFF"/>
            <w:tcMar>
              <w:top w:w="80" w:type="dxa"/>
              <w:bottom w:w="80" w:type="dxa"/>
              <w:left w:w="120" w:type="dxa"/>
              <w:right w:w="120" w:type="dxa"/>
            </w:tcMar>
          </w:tcPr>
          <w:p>
            <w:pPr>
              <w:spacing w:after="0"/>
            </w:pPr>
            <w:r>
              <w:rPr>
                <w:rFonts w:ascii="Arial" w:hAnsi="Arial"/>
                <w:color w:val="0F172A"/>
                <w:sz w:val="19"/>
              </w:rPr>
              <w:t>ISO 45001:2018 | OSHA 29 CFR 1910 &amp; 29 CFR 1926</w:t>
            </w:r>
          </w:p>
        </w:tc>
      </w:tr>
    </w:tbl>
    <w:p>
      <w:pPr>
        <w:spacing w:after="280"/>
      </w:pPr>
    </w:p>
    <w:p>
      <w:pPr>
        <w:spacing w:before="280" w:after="80"/>
      </w:pPr>
      <w:r>
        <w:rPr>
          <w:rFonts w:ascii="Arial" w:hAnsi="Arial"/>
          <w:b/>
          <w:color w:val="0F294A"/>
          <w:sz w:val="28"/>
        </w:rPr>
        <w:t>1.0 Purpose &amp; Executive Commitment</w:t>
      </w:r>
    </w:p>
    <w:p>
      <w:pPr>
        <w:spacing w:after="120" w:line="276" w:lineRule="auto"/>
      </w:pPr>
      <w:r>
        <w:rPr>
          <w:rFonts w:ascii="Arial" w:hAnsi="Arial"/>
          <w:color w:val="0F172A"/>
          <w:sz w:val="20"/>
        </w:rPr>
        <w:t>HWB Cleaning Services LLC is dedicated to providing an accident-free, healthy, and compliant work environment for all employees, subcontractors, clients, and facility occupants. Safety is an uncompromised core value that takes precedence over speed or operational convenience. This Master Manual establishes company-wide safety policies, management responsibilities, reporting chains, and regulatory compliance standards across all commercial, post-construction, and public authority operations.</w:t>
      </w:r>
    </w:p>
    <w:p>
      <w:pPr>
        <w:spacing w:before="280" w:after="80"/>
      </w:pPr>
      <w:r>
        <w:rPr>
          <w:rFonts w:ascii="Arial" w:hAnsi="Arial"/>
          <w:b/>
          <w:color w:val="0F294A"/>
          <w:sz w:val="28"/>
        </w:rPr>
        <w:t>2.0 Scope &amp; Modular Architecture</w:t>
      </w:r>
    </w:p>
    <w:p>
      <w:pPr>
        <w:spacing w:after="120" w:line="276" w:lineRule="auto"/>
      </w:pPr>
      <w:r>
        <w:rPr>
          <w:rFonts w:ascii="Arial" w:hAnsi="Arial"/>
          <w:color w:val="0F172A"/>
          <w:sz w:val="20"/>
        </w:rPr>
        <w:t>This procedure applies to all personnel performing work on behalf of HWB Cleaning Services LLC. To address the distinct operational requirements of construction job sites versus occupied public facilities, this Master Manual connects to two specialized operational safety modules:</w:t>
      </w:r>
    </w:p>
    <w:p>
      <w:pPr>
        <w:pStyle w:val="ListBullet"/>
        <w:spacing w:after="60" w:line="276" w:lineRule="auto"/>
      </w:pPr>
      <w:r>
        <w:rPr>
          <w:rFonts w:ascii="Arial" w:hAnsi="Arial"/>
          <w:b/>
          <w:color w:val="0F172A"/>
          <w:sz w:val="20"/>
        </w:rPr>
        <w:t xml:space="preserve">Module A — HWB-EHS-002: </w:t>
      </w:r>
      <w:r>
        <w:rPr>
          <w:rFonts w:ascii="Arial" w:hAnsi="Arial"/>
          <w:color w:val="0F172A"/>
          <w:sz w:val="20"/>
        </w:rPr>
        <w:t>Construction Site Safety and Silica Dust Control Plan (OSHA 29 CFR 1926 / Division 01 35 23 for General Contractors).</w:t>
      </w:r>
    </w:p>
    <w:p>
      <w:pPr>
        <w:pStyle w:val="ListBullet"/>
        <w:spacing w:after="60" w:line="276" w:lineRule="auto"/>
      </w:pPr>
      <w:r>
        <w:rPr>
          <w:rFonts w:ascii="Arial" w:hAnsi="Arial"/>
          <w:b/>
          <w:color w:val="0F172A"/>
          <w:sz w:val="20"/>
        </w:rPr>
        <w:t xml:space="preserve">Module B — HWB-EHS-003: </w:t>
      </w:r>
      <w:r>
        <w:rPr>
          <w:rFonts w:ascii="Arial" w:hAnsi="Arial"/>
          <w:color w:val="0F172A"/>
          <w:sz w:val="20"/>
        </w:rPr>
        <w:t>Institutional Facilities Health and Safety Plan (OSHA 29 CFR 1910 for Public Authorities, NTTA, and Higher Education Campuses).</w:t>
      </w:r>
    </w:p>
    <w:p>
      <w:pPr>
        <w:spacing w:before="280" w:after="80"/>
      </w:pPr>
      <w:r>
        <w:rPr>
          <w:rFonts w:ascii="Arial" w:hAnsi="Arial"/>
          <w:b/>
          <w:color w:val="0F294A"/>
          <w:sz w:val="28"/>
        </w:rPr>
        <w:t>3.0 Safety Roles &amp; Responsibilities</w:t>
      </w:r>
    </w:p>
    <w:p>
      <w:pPr>
        <w:pStyle w:val="ListBullet"/>
        <w:spacing w:after="60" w:line="276" w:lineRule="auto"/>
      </w:pPr>
      <w:r>
        <w:rPr>
          <w:rFonts w:ascii="Arial" w:hAnsi="Arial"/>
          <w:b/>
          <w:color w:val="0F172A"/>
          <w:sz w:val="20"/>
        </w:rPr>
        <w:t xml:space="preserve">Chief Executive Officer (Humberto Dominguez): </w:t>
      </w:r>
      <w:r>
        <w:rPr>
          <w:rFonts w:ascii="Arial" w:hAnsi="Arial"/>
          <w:color w:val="0F172A"/>
          <w:sz w:val="20"/>
        </w:rPr>
        <w:t>Holds ultimate authority for corporate safety policies, resource allocation, and annual safety audits. Reviews all major incident investigations and regulatory filings.</w:t>
      </w:r>
    </w:p>
    <w:p>
      <w:pPr>
        <w:pStyle w:val="ListBullet"/>
        <w:spacing w:after="60" w:line="276" w:lineRule="auto"/>
      </w:pPr>
      <w:r>
        <w:rPr>
          <w:rFonts w:ascii="Arial" w:hAnsi="Arial"/>
          <w:b/>
          <w:color w:val="0F172A"/>
          <w:sz w:val="20"/>
        </w:rPr>
        <w:t xml:space="preserve">Safety Director &amp; Project Managers: </w:t>
      </w:r>
      <w:r>
        <w:rPr>
          <w:rFonts w:ascii="Arial" w:hAnsi="Arial"/>
          <w:color w:val="0F172A"/>
          <w:sz w:val="20"/>
        </w:rPr>
        <w:t>Enforce daily safety rules across all active customer accounts and jobsites. Review Job Hazard Analysis (JHA) forms before work begins and conduct routine jobsite audits.</w:t>
      </w:r>
    </w:p>
    <w:p>
      <w:pPr>
        <w:pStyle w:val="ListBullet"/>
        <w:spacing w:after="60" w:line="276" w:lineRule="auto"/>
      </w:pPr>
      <w:r>
        <w:rPr>
          <w:rFonts w:ascii="Arial" w:hAnsi="Arial"/>
          <w:b/>
          <w:color w:val="0F172A"/>
          <w:sz w:val="20"/>
        </w:rPr>
        <w:t xml:space="preserve">Site Supervisors &amp; Foremen: </w:t>
      </w:r>
      <w:r>
        <w:rPr>
          <w:rFonts w:ascii="Arial" w:hAnsi="Arial"/>
          <w:color w:val="0F172A"/>
          <w:sz w:val="20"/>
        </w:rPr>
        <w:t>Perform daily visual safety inspections of equipment, power cords, and PPE. Lead weekly Safety Tool Box Talks and correct unsafe conditions on the spot.</w:t>
      </w:r>
    </w:p>
    <w:p>
      <w:pPr>
        <w:pStyle w:val="ListBullet"/>
        <w:spacing w:after="60" w:line="276" w:lineRule="auto"/>
      </w:pPr>
      <w:r>
        <w:rPr>
          <w:rFonts w:ascii="Arial" w:hAnsi="Arial"/>
          <w:b/>
          <w:color w:val="0F172A"/>
          <w:sz w:val="20"/>
        </w:rPr>
        <w:t xml:space="preserve">Cleaning Technicians &amp; Subcontractors: </w:t>
      </w:r>
      <w:r>
        <w:rPr>
          <w:rFonts w:ascii="Arial" w:hAnsi="Arial"/>
          <w:color w:val="0F172A"/>
          <w:sz w:val="20"/>
        </w:rPr>
        <w:t>Inspect and wear mandatory PPE daily, follow machine safety instructions and chemical dilution ratios without deviation, and report all injuries or near-misses immediately.</w:t>
      </w:r>
    </w:p>
    <w:p>
      <w:pPr>
        <w:spacing w:before="280" w:after="80"/>
      </w:pPr>
      <w:r>
        <w:rPr>
          <w:rFonts w:ascii="Arial" w:hAnsi="Arial"/>
          <w:b/>
          <w:color w:val="0F294A"/>
          <w:sz w:val="28"/>
        </w:rPr>
        <w:t>4.0 General Safety Rules &amp; Rules of Conduct</w:t>
      </w:r>
    </w:p>
    <w:p>
      <w:pPr>
        <w:pStyle w:val="ListBullet"/>
        <w:spacing w:after="60" w:line="276" w:lineRule="auto"/>
      </w:pPr>
      <w:r>
        <w:rPr>
          <w:rFonts w:ascii="Arial" w:hAnsi="Arial"/>
          <w:b/>
          <w:color w:val="0F172A"/>
          <w:sz w:val="20"/>
        </w:rPr>
        <w:t xml:space="preserve">Zero Tolerance for Horseplay: </w:t>
      </w:r>
      <w:r>
        <w:rPr>
          <w:rFonts w:ascii="Arial" w:hAnsi="Arial"/>
          <w:color w:val="0F172A"/>
          <w:sz w:val="20"/>
        </w:rPr>
        <w:t>Running, practical jokes, fighting, or careless behavior are strictly banned on all company and customer premises.</w:t>
      </w:r>
    </w:p>
    <w:p>
      <w:pPr>
        <w:pStyle w:val="ListBullet"/>
        <w:spacing w:after="60" w:line="276" w:lineRule="auto"/>
      </w:pPr>
      <w:r>
        <w:rPr>
          <w:rFonts w:ascii="Arial" w:hAnsi="Arial"/>
          <w:b/>
          <w:color w:val="0F172A"/>
          <w:sz w:val="20"/>
        </w:rPr>
        <w:t xml:space="preserve">Personal Protective Equipment (PPE): </w:t>
      </w:r>
      <w:r>
        <w:rPr>
          <w:rFonts w:ascii="Arial" w:hAnsi="Arial"/>
          <w:color w:val="0F172A"/>
          <w:sz w:val="20"/>
        </w:rPr>
        <w:t>Mandatory PPE must be clean, inspected, and worn whenever performing tasks presenting eye, skin, head, foot, or breathing risks.</w:t>
      </w:r>
    </w:p>
    <w:p>
      <w:pPr>
        <w:pStyle w:val="ListBullet"/>
        <w:spacing w:after="60" w:line="276" w:lineRule="auto"/>
      </w:pPr>
      <w:r>
        <w:rPr>
          <w:rFonts w:ascii="Arial" w:hAnsi="Arial"/>
          <w:b/>
          <w:color w:val="0F172A"/>
          <w:sz w:val="20"/>
        </w:rPr>
        <w:t xml:space="preserve">Housekeeping &amp; Cord Safety: </w:t>
      </w:r>
      <w:r>
        <w:rPr>
          <w:rFonts w:ascii="Arial" w:hAnsi="Arial"/>
          <w:color w:val="0F172A"/>
          <w:sz w:val="20"/>
        </w:rPr>
        <w:t>Work areas must remain clean and orderly. Hoses, power cords, and equipment must be positioned to prevent tripping hazards.</w:t>
      </w:r>
    </w:p>
    <w:p>
      <w:pPr>
        <w:pStyle w:val="ListBullet"/>
        <w:spacing w:after="60" w:line="276" w:lineRule="auto"/>
      </w:pPr>
      <w:r>
        <w:rPr>
          <w:rFonts w:ascii="Arial" w:hAnsi="Arial"/>
          <w:b/>
          <w:color w:val="0F172A"/>
          <w:sz w:val="20"/>
        </w:rPr>
        <w:t xml:space="preserve">Machinery Guards: </w:t>
      </w:r>
      <w:r>
        <w:rPr>
          <w:rFonts w:ascii="Arial" w:hAnsi="Arial"/>
          <w:color w:val="0F172A"/>
          <w:sz w:val="20"/>
        </w:rPr>
        <w:t>Never bypass safety guards, emergency shut-off switches, or ground pins on 3-prong electrical cords.</w:t>
      </w:r>
    </w:p>
    <w:p>
      <w:pPr>
        <w:pStyle w:val="ListBullet"/>
        <w:spacing w:after="60" w:line="276" w:lineRule="auto"/>
      </w:pPr>
      <w:r>
        <w:rPr>
          <w:rFonts w:ascii="Arial" w:hAnsi="Arial"/>
          <w:b/>
          <w:color w:val="0F172A"/>
          <w:sz w:val="20"/>
        </w:rPr>
        <w:t xml:space="preserve">Ergonomic Lifting: </w:t>
      </w:r>
      <w:r>
        <w:rPr>
          <w:rFonts w:ascii="Arial" w:hAnsi="Arial"/>
          <w:color w:val="0F172A"/>
          <w:sz w:val="20"/>
        </w:rPr>
        <w:t>Use leg muscles and keep the back straight when lifting items. Team lifting is mandatory for loads over 50 pounds.</w:t>
      </w:r>
    </w:p>
    <w:p>
      <w:pPr>
        <w:spacing w:before="280" w:after="80"/>
      </w:pPr>
      <w:r>
        <w:rPr>
          <w:rFonts w:ascii="Arial" w:hAnsi="Arial"/>
          <w:b/>
          <w:color w:val="0F294A"/>
          <w:sz w:val="28"/>
        </w:rPr>
        <w:t>5.0 Hazard Communication Program (OSHA 29 CFR 1910.1200 / GHS)</w:t>
      </w:r>
    </w:p>
    <w:p>
      <w:pPr>
        <w:spacing w:after="120" w:line="276" w:lineRule="auto"/>
      </w:pPr>
      <w:r>
        <w:rPr>
          <w:rFonts w:ascii="Arial" w:hAnsi="Arial"/>
          <w:color w:val="0F172A"/>
          <w:sz w:val="20"/>
        </w:rPr>
        <w:t>In full accordance with federal OSHA Hazard Communication regulations and the Texas Hazard Communication Act (THCA), HWB Cleaning Services LLC guarantees all workers the right to understand the chemical hazards present in their work environment.</w:t>
      </w:r>
    </w:p>
    <w:p>
      <w:pPr>
        <w:pStyle w:val="ListBullet"/>
        <w:spacing w:after="60" w:line="276" w:lineRule="auto"/>
      </w:pPr>
      <w:r>
        <w:rPr>
          <w:rFonts w:ascii="Arial" w:hAnsi="Arial"/>
          <w:b/>
          <w:color w:val="0F172A"/>
          <w:sz w:val="20"/>
        </w:rPr>
        <w:t xml:space="preserve">Safety Data Sheets (SDS): </w:t>
      </w:r>
      <w:r>
        <w:rPr>
          <w:rFonts w:ascii="Arial" w:hAnsi="Arial"/>
          <w:color w:val="0F172A"/>
          <w:sz w:val="20"/>
        </w:rPr>
        <w:t>An up-to-date SDS binder is maintained in every primary janitorial closet, mobile service van, and digitally on the backoffice portal. Mixing different chemicals—especially bleach and ammonia-based products—is strictly forbidden.</w:t>
      </w:r>
    </w:p>
    <w:p>
      <w:pPr>
        <w:pStyle w:val="ListBullet"/>
        <w:spacing w:after="60" w:line="276" w:lineRule="auto"/>
      </w:pPr>
      <w:r>
        <w:rPr>
          <w:rFonts w:ascii="Arial" w:hAnsi="Arial"/>
          <w:b/>
          <w:color w:val="0F172A"/>
          <w:sz w:val="20"/>
        </w:rPr>
        <w:t xml:space="preserve">Secondary Container Labeling: </w:t>
      </w:r>
      <w:r>
        <w:rPr>
          <w:rFonts w:ascii="Arial" w:hAnsi="Arial"/>
          <w:color w:val="0F172A"/>
          <w:sz w:val="20"/>
        </w:rPr>
        <w:t>Every spray bottle or secondary bucket must carry a complete GHS label identifying the product name, manufacturer, and key hazard warning pictograms. Unlabeled bottles are confiscated immediately.</w:t>
      </w:r>
    </w:p>
    <w:p>
      <w:pPr>
        <w:spacing w:before="280" w:after="80"/>
      </w:pPr>
      <w:r>
        <w:rPr>
          <w:rFonts w:ascii="Arial" w:hAnsi="Arial"/>
          <w:b/>
          <w:color w:val="0F294A"/>
          <w:sz w:val="28"/>
        </w:rPr>
        <w:t>6.0 Injury, Incident, and Near-Miss Reporting</w:t>
      </w:r>
    </w:p>
    <w:p>
      <w:pPr>
        <w:spacing w:after="120" w:line="276" w:lineRule="auto"/>
      </w:pPr>
      <w:r>
        <w:rPr>
          <w:rFonts w:ascii="Arial" w:hAnsi="Arial"/>
          <w:color w:val="0F172A"/>
          <w:sz w:val="20"/>
        </w:rPr>
        <w:t>Prompt reporting ensures timely medical care and prevents repeat accidents:</w:t>
      </w:r>
    </w:p>
    <w:p>
      <w:pPr>
        <w:pStyle w:val="ListBullet"/>
        <w:spacing w:after="60" w:line="276" w:lineRule="auto"/>
      </w:pPr>
      <w:r>
        <w:rPr>
          <w:rFonts w:ascii="Arial" w:hAnsi="Arial"/>
          <w:b/>
          <w:color w:val="0F172A"/>
          <w:sz w:val="20"/>
        </w:rPr>
        <w:t xml:space="preserve">Immediate Reporting Window: </w:t>
      </w:r>
      <w:r>
        <w:rPr>
          <w:rFonts w:ascii="Arial" w:hAnsi="Arial"/>
          <w:color w:val="0F172A"/>
          <w:sz w:val="20"/>
        </w:rPr>
        <w:t>All injuries, regardless of severity, must be reported to the Site Supervisor and Safety Director within one (1) hour.</w:t>
      </w:r>
    </w:p>
    <w:p>
      <w:pPr>
        <w:pStyle w:val="ListBullet"/>
        <w:spacing w:after="60" w:line="276" w:lineRule="auto"/>
      </w:pPr>
      <w:r>
        <w:rPr>
          <w:rFonts w:ascii="Arial" w:hAnsi="Arial"/>
          <w:b/>
          <w:color w:val="0F172A"/>
          <w:sz w:val="20"/>
        </w:rPr>
        <w:t xml:space="preserve">First Report of Injury: </w:t>
      </w:r>
      <w:r>
        <w:rPr>
          <w:rFonts w:ascii="Arial" w:hAnsi="Arial"/>
          <w:color w:val="0F172A"/>
          <w:sz w:val="20"/>
        </w:rPr>
        <w:t>The supervisor must complete the official HWB First Report of Injury Form within 24 hours of the incident.</w:t>
      </w:r>
    </w:p>
    <w:p>
      <w:pPr>
        <w:pStyle w:val="ListBullet"/>
        <w:spacing w:after="60" w:line="276" w:lineRule="auto"/>
      </w:pPr>
      <w:r>
        <w:rPr>
          <w:rFonts w:ascii="Arial" w:hAnsi="Arial"/>
          <w:b/>
          <w:color w:val="0F172A"/>
          <w:sz w:val="20"/>
        </w:rPr>
        <w:t xml:space="preserve">Root-Cause Investigation: </w:t>
      </w:r>
      <w:r>
        <w:rPr>
          <w:rFonts w:ascii="Arial" w:hAnsi="Arial"/>
          <w:color w:val="0F172A"/>
          <w:sz w:val="20"/>
        </w:rPr>
        <w:t>The Safety Director leads a formal investigation within 48 hours to identify preventative actions.</w:t>
      </w:r>
    </w:p>
    <w:p>
      <w:pPr>
        <w:spacing w:before="280" w:after="80"/>
      </w:pPr>
      <w:r>
        <w:rPr>
          <w:rFonts w:ascii="Arial" w:hAnsi="Arial"/>
          <w:b/>
          <w:color w:val="0F294A"/>
          <w:sz w:val="28"/>
        </w:rPr>
        <w:t>7.0 Disciplinary Policy for Safety Violations</w:t>
      </w:r>
    </w:p>
    <w:p>
      <w:pPr>
        <w:pStyle w:val="ListBullet"/>
        <w:spacing w:after="60" w:line="276" w:lineRule="auto"/>
      </w:pPr>
      <w:r>
        <w:rPr>
          <w:rFonts w:ascii="Arial" w:hAnsi="Arial"/>
          <w:b/>
          <w:color w:val="0F172A"/>
          <w:sz w:val="20"/>
        </w:rPr>
        <w:t xml:space="preserve">1st Offense: </w:t>
      </w:r>
      <w:r>
        <w:rPr>
          <w:rFonts w:ascii="Arial" w:hAnsi="Arial"/>
          <w:color w:val="0F172A"/>
          <w:sz w:val="20"/>
        </w:rPr>
        <w:t>Documented Verbal Counseling and mandatory retraining on the relevant safety standard.</w:t>
      </w:r>
    </w:p>
    <w:p>
      <w:pPr>
        <w:pStyle w:val="ListBullet"/>
        <w:spacing w:after="60" w:line="276" w:lineRule="auto"/>
      </w:pPr>
      <w:r>
        <w:rPr>
          <w:rFonts w:ascii="Arial" w:hAnsi="Arial"/>
          <w:b/>
          <w:color w:val="0F172A"/>
          <w:sz w:val="20"/>
        </w:rPr>
        <w:t xml:space="preserve">2nd Offense: </w:t>
      </w:r>
      <w:r>
        <w:rPr>
          <w:rFonts w:ascii="Arial" w:hAnsi="Arial"/>
          <w:color w:val="0F172A"/>
          <w:sz w:val="20"/>
        </w:rPr>
        <w:t>Written Warning placed in permanent personnel file and safety review meeting.</w:t>
      </w:r>
    </w:p>
    <w:p>
      <w:pPr>
        <w:pStyle w:val="ListBullet"/>
        <w:spacing w:after="60" w:line="276" w:lineRule="auto"/>
      </w:pPr>
      <w:r>
        <w:rPr>
          <w:rFonts w:ascii="Arial" w:hAnsi="Arial"/>
          <w:b/>
          <w:color w:val="0F172A"/>
          <w:sz w:val="20"/>
        </w:rPr>
        <w:t xml:space="preserve">3rd Offense: </w:t>
      </w:r>
      <w:r>
        <w:rPr>
          <w:rFonts w:ascii="Arial" w:hAnsi="Arial"/>
          <w:color w:val="0F172A"/>
          <w:sz w:val="20"/>
        </w:rPr>
        <w:t>Final Written Warning and three-day unpaid suspension.</w:t>
      </w:r>
    </w:p>
    <w:p>
      <w:pPr>
        <w:pStyle w:val="ListBullet"/>
        <w:spacing w:after="60" w:line="276" w:lineRule="auto"/>
      </w:pPr>
      <w:r>
        <w:rPr>
          <w:rFonts w:ascii="Arial" w:hAnsi="Arial"/>
          <w:b/>
          <w:color w:val="0F172A"/>
          <w:sz w:val="20"/>
        </w:rPr>
        <w:t xml:space="preserve">4th Offense: </w:t>
      </w:r>
      <w:r>
        <w:rPr>
          <w:rFonts w:ascii="Arial" w:hAnsi="Arial"/>
          <w:color w:val="0F172A"/>
          <w:sz w:val="20"/>
        </w:rPr>
        <w:t>Immediate termination of employment.</w:t>
      </w:r>
    </w:p>
    <w:tbl>
      <w:tblPr>
        <w:tblW w:type="auto" w:w="0"/>
        <w:jc w:val="center"/>
        <w:tblLayout w:type="fixed"/>
        <w:tblLook w:firstColumn="1" w:firstRow="1" w:lastColumn="0" w:lastRow="0" w:noHBand="0" w:noVBand="1" w:val="04A0"/>
      </w:tblPr>
      <w:tblGrid>
        <w:gridCol w:w="8640"/>
      </w:tblGrid>
      <w:tr>
        <w:tc>
          <w:tcPr>
            <w:tcW w:type="dxa" w:w="9360"/>
            <w:shd w:fill="EFF6FF"/>
            <w:tcMar>
              <w:top w:w="120" w:type="dxa"/>
              <w:bottom w:w="120" w:type="dxa"/>
              <w:left w:w="150" w:type="dxa"/>
              <w:right w:w="150" w:type="dxa"/>
            </w:tcMar>
          </w:tcPr>
          <w:p>
            <w:pPr>
              <w:spacing w:after="0" w:line="276" w:lineRule="auto"/>
            </w:pPr>
            <w:r>
              <w:rPr>
                <w:rFonts w:ascii="Arial" w:hAnsi="Arial"/>
                <w:b/>
                <w:color w:val="2563EB"/>
                <w:sz w:val="20"/>
              </w:rPr>
              <w:t>Critical Safety Violations</w:t>
              <w:br/>
            </w:r>
            <w:r>
              <w:rPr>
                <w:rFonts w:ascii="Arial" w:hAnsi="Arial"/>
                <w:color w:val="0F172A"/>
                <w:sz w:val="19"/>
              </w:rPr>
              <w:t>Bypassing safety locks, working at heights without required fall protection, failure to report an injury, or arriving to work under the influence of drugs or alcohol results in immediate suspension and potential termination on the first offense.</w:t>
            </w:r>
          </w:p>
        </w:tc>
      </w:tr>
    </w:tbl>
    <w:p>
      <w:pPr>
        <w:spacing w:after="120"/>
      </w:pPr>
    </w:p>
    <w:p>
      <w:pPr>
        <w:spacing w:before="280" w:after="80"/>
      </w:pPr>
      <w:r>
        <w:rPr>
          <w:rFonts w:ascii="Arial" w:hAnsi="Arial"/>
          <w:b/>
          <w:color w:val="0F294A"/>
          <w:sz w:val="28"/>
        </w:rPr>
        <w:t>8.0 Drug, Alcohol, and Contraband Policy</w:t>
      </w:r>
    </w:p>
    <w:p>
      <w:pPr>
        <w:spacing w:after="120" w:line="276" w:lineRule="auto"/>
      </w:pPr>
      <w:r>
        <w:rPr>
          <w:rFonts w:ascii="Arial" w:hAnsi="Arial"/>
          <w:color w:val="0F172A"/>
          <w:sz w:val="20"/>
        </w:rPr>
        <w:t>HWB Cleaning Services LLC maintains a zero-tolerance drug- and alcohol-free workplace. The use, possession, sale, or being under the influence of illegal drugs, unauthorized narcotics, or alcohol during work hours or on customer property is strictly prohibited. Carrying firearms, concealed handguns, knives over 3 inches (excluding standard utility tools), or weapons onto customer premises is strictly forbidden.</w:t>
      </w:r>
    </w:p>
    <w:p>
      <w:pPr>
        <w:spacing w:before="280" w:after="80"/>
      </w:pPr>
      <w:r>
        <w:rPr>
          <w:rFonts w:ascii="Arial" w:hAnsi="Arial"/>
          <w:b/>
          <w:color w:val="0F294A"/>
          <w:sz w:val="28"/>
        </w:rPr>
        <w:t>9.0 OSHA Regulatory Inspection Procedure</w:t>
      </w:r>
    </w:p>
    <w:p>
      <w:pPr>
        <w:spacing w:after="120" w:line="276" w:lineRule="auto"/>
      </w:pPr>
      <w:r>
        <w:rPr>
          <w:rFonts w:ascii="Arial" w:hAnsi="Arial"/>
          <w:color w:val="0F172A"/>
          <w:sz w:val="20"/>
        </w:rPr>
        <w:t>When an OSHA compliance officer or regulatory inspector arrives at an HWB jobsite:</w:t>
      </w:r>
    </w:p>
    <w:p>
      <w:pPr>
        <w:pStyle w:val="ListBullet"/>
        <w:spacing w:after="60" w:line="276" w:lineRule="auto"/>
      </w:pPr>
      <w:r>
        <w:rPr>
          <w:rFonts w:ascii="Arial" w:hAnsi="Arial"/>
          <w:b/>
          <w:color w:val="0F172A"/>
          <w:sz w:val="20"/>
        </w:rPr>
        <w:t xml:space="preserve">Verification &amp; Management Alert: </w:t>
      </w:r>
      <w:r>
        <w:rPr>
          <w:rFonts w:ascii="Arial" w:hAnsi="Arial"/>
          <w:color w:val="0F172A"/>
          <w:sz w:val="20"/>
        </w:rPr>
        <w:t>Examine official agency credentials, be courteous, and immediately notify the Safety Director and CEO Humberto Dominguez.</w:t>
      </w:r>
    </w:p>
    <w:p>
      <w:pPr>
        <w:pStyle w:val="ListBullet"/>
        <w:spacing w:after="60" w:line="276" w:lineRule="auto"/>
      </w:pPr>
      <w:r>
        <w:rPr>
          <w:rFonts w:ascii="Arial" w:hAnsi="Arial"/>
          <w:b/>
          <w:color w:val="0F172A"/>
          <w:sz w:val="20"/>
        </w:rPr>
        <w:t xml:space="preserve">Accompaniment Mandate: </w:t>
      </w:r>
      <w:r>
        <w:rPr>
          <w:rFonts w:ascii="Arial" w:hAnsi="Arial"/>
          <w:color w:val="0F172A"/>
          <w:sz w:val="20"/>
        </w:rPr>
        <w:t>An authorized HWB supervisor must accompany the inspector throughout the entire walk-around. Never allow an inspector to walk the site unescorted.</w:t>
      </w:r>
    </w:p>
    <w:p>
      <w:pPr>
        <w:pStyle w:val="ListBullet"/>
        <w:spacing w:after="60" w:line="276" w:lineRule="auto"/>
      </w:pPr>
      <w:r>
        <w:rPr>
          <w:rFonts w:ascii="Arial" w:hAnsi="Arial"/>
          <w:b/>
          <w:color w:val="0F172A"/>
          <w:sz w:val="20"/>
        </w:rPr>
        <w:t xml:space="preserve">Photographic Mirroring: </w:t>
      </w:r>
      <w:r>
        <w:rPr>
          <w:rFonts w:ascii="Arial" w:hAnsi="Arial"/>
          <w:color w:val="0F172A"/>
          <w:sz w:val="20"/>
        </w:rPr>
        <w:t>If the inspector takes a photograph or notes a specific condition, the HWB supervisor must take corresponding photos from the same angles and document all details.</w:t>
      </w:r>
    </w:p>
    <w:p>
      <w:pPr>
        <w:pStyle w:val="ListBullet"/>
        <w:spacing w:after="60" w:line="276" w:lineRule="auto"/>
      </w:pPr>
      <w:r>
        <w:rPr>
          <w:rFonts w:ascii="Arial" w:hAnsi="Arial"/>
          <w:b/>
          <w:color w:val="0F172A"/>
          <w:sz w:val="20"/>
        </w:rPr>
        <w:t xml:space="preserve">Immediate Correction: </w:t>
      </w:r>
      <w:r>
        <w:rPr>
          <w:rFonts w:ascii="Arial" w:hAnsi="Arial"/>
          <w:color w:val="0F172A"/>
          <w:sz w:val="20"/>
        </w:rPr>
        <w:t>If an unsafe condition can be fixed immediately, correct it on the spot while notifying the inspector.</w:t>
      </w:r>
    </w:p>
    <w:p>
      <w:pPr>
        <w:spacing w:before="280" w:after="80"/>
      </w:pPr>
      <w:r>
        <w:rPr>
          <w:rFonts w:ascii="Arial" w:hAnsi="Arial"/>
          <w:b/>
          <w:color w:val="0F294A"/>
          <w:sz w:val="28"/>
        </w:rPr>
        <w:t>10.0 Emergency Action Plans (EAP)</w:t>
      </w:r>
    </w:p>
    <w:p>
      <w:pPr>
        <w:pStyle w:val="ListBullet"/>
        <w:spacing w:after="60" w:line="276" w:lineRule="auto"/>
      </w:pPr>
      <w:r>
        <w:rPr>
          <w:rFonts w:ascii="Arial" w:hAnsi="Arial"/>
          <w:b/>
          <w:color w:val="0F172A"/>
          <w:sz w:val="20"/>
        </w:rPr>
        <w:t xml:space="preserve">Fire &amp; Building Evacuation: </w:t>
      </w:r>
      <w:r>
        <w:rPr>
          <w:rFonts w:ascii="Arial" w:hAnsi="Arial"/>
          <w:color w:val="0F172A"/>
          <w:sz w:val="20"/>
        </w:rPr>
        <w:t>Know two exit routes. Cease work immediately upon alarm sounding, shut off machinery, and assemble at the outdoor muster area for roll-call.</w:t>
      </w:r>
    </w:p>
    <w:p>
      <w:pPr>
        <w:pStyle w:val="ListBullet"/>
        <w:spacing w:after="60" w:line="276" w:lineRule="auto"/>
      </w:pPr>
      <w:r>
        <w:rPr>
          <w:rFonts w:ascii="Arial" w:hAnsi="Arial"/>
          <w:b/>
          <w:color w:val="0F172A"/>
          <w:sz w:val="20"/>
        </w:rPr>
        <w:t xml:space="preserve">Severe Weather &amp; Tornado: </w:t>
      </w:r>
      <w:r>
        <w:rPr>
          <w:rFonts w:ascii="Arial" w:hAnsi="Arial"/>
          <w:color w:val="0F172A"/>
          <w:sz w:val="20"/>
        </w:rPr>
        <w:t>Move quickly to designated interior rooms or windowless ground-floor restrooms until all-clear is announced.</w:t>
      </w:r>
    </w:p>
    <w:p>
      <w:pPr>
        <w:pStyle w:val="ListBullet"/>
        <w:spacing w:after="60" w:line="276" w:lineRule="auto"/>
      </w:pPr>
      <w:r>
        <w:rPr>
          <w:rFonts w:ascii="Arial" w:hAnsi="Arial"/>
          <w:b/>
          <w:color w:val="0F172A"/>
          <w:sz w:val="20"/>
        </w:rPr>
        <w:t xml:space="preserve">Active Threat (Run, Hide, Fight): </w:t>
      </w:r>
      <w:r>
        <w:rPr>
          <w:rFonts w:ascii="Arial" w:hAnsi="Arial"/>
          <w:color w:val="0F172A"/>
          <w:sz w:val="20"/>
        </w:rPr>
        <w:t>Run and evacuate if possible. If trapped, hide and barricade doors, silence phones. Fight as an absolute last resort when in imminent danger.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