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2563EB"/>
          <w:sz w:val="20"/>
        </w:rPr>
        <w:t>HWB CLEANING SERVICES LLC</w:t>
      </w:r>
    </w:p>
    <w:p>
      <w:pPr>
        <w:spacing w:after="80"/>
      </w:pPr>
      <w:r>
        <w:rPr>
          <w:rFonts w:ascii="Arial" w:hAnsi="Arial"/>
          <w:b/>
          <w:color w:val="0F294A"/>
          <w:sz w:val="40"/>
        </w:rPr>
        <w:t>Institutional Facilities Health &amp; Safety Plan (IFSP)</w:t>
      </w:r>
    </w:p>
    <w:p>
      <w:pPr>
        <w:spacing w:after="240"/>
      </w:pPr>
      <w:r>
        <w:rPr>
          <w:rFonts w:ascii="Arial" w:hAnsi="Arial"/>
          <w:color w:val="475569"/>
          <w:sz w:val="22"/>
        </w:rPr>
        <w:t>Public Sector, Multi-Facility &amp; Occupied Campus Custodial Safety Program</w:t>
      </w:r>
    </w:p>
    <w:tbl>
      <w:tblPr>
        <w:tblW w:type="auto" w:w="0"/>
        <w:jc w:val="center"/>
        <w:tblLayout w:type="fixed"/>
        <w:tblLook w:firstColumn="1" w:firstRow="1" w:lastColumn="0" w:lastRow="0" w:noHBand="0" w:noVBand="1" w:val="04A0"/>
      </w:tblPr>
      <w:tblGrid>
        <w:gridCol w:w="4320"/>
        <w:gridCol w:w="4320"/>
      </w:tblGrid>
      <w:tr>
        <w:tc>
          <w:tcPr>
            <w:tcW w:type="dxa" w:w="3168"/>
            <w:shd w:fill="F1F5F9"/>
            <w:tcMar>
              <w:top w:w="80" w:type="dxa"/>
              <w:bottom w:w="80" w:type="dxa"/>
              <w:left w:w="120" w:type="dxa"/>
              <w:right w:w="120" w:type="dxa"/>
            </w:tcMar>
          </w:tcPr>
          <w:p>
            <w:pPr>
              <w:spacing w:after="0"/>
            </w:pPr>
            <w:r>
              <w:rPr>
                <w:rFonts w:ascii="Arial" w:hAnsi="Arial"/>
                <w:b/>
                <w:color w:val="0F294A"/>
                <w:sz w:val="19"/>
              </w:rPr>
              <w:t>Document ID</w:t>
            </w:r>
          </w:p>
        </w:tc>
        <w:tc>
          <w:tcPr>
            <w:tcW w:type="dxa" w:w="6192"/>
            <w:shd w:fill="FFFFFF"/>
            <w:tcMar>
              <w:top w:w="80" w:type="dxa"/>
              <w:bottom w:w="80" w:type="dxa"/>
              <w:left w:w="120" w:type="dxa"/>
              <w:right w:w="120" w:type="dxa"/>
            </w:tcMar>
          </w:tcPr>
          <w:p>
            <w:pPr>
              <w:spacing w:after="0"/>
            </w:pPr>
            <w:r>
              <w:rPr>
                <w:rFonts w:ascii="Arial" w:hAnsi="Arial"/>
                <w:color w:val="0F172A"/>
                <w:sz w:val="19"/>
              </w:rPr>
              <w:t>HWB-EHS-003</w:t>
            </w:r>
          </w:p>
        </w:tc>
      </w:tr>
      <w:tr>
        <w:tc>
          <w:tcPr>
            <w:tcW w:type="dxa" w:w="3168"/>
            <w:shd w:fill="F1F5F9"/>
            <w:tcMar>
              <w:top w:w="80" w:type="dxa"/>
              <w:bottom w:w="80" w:type="dxa"/>
              <w:left w:w="120" w:type="dxa"/>
              <w:right w:w="120" w:type="dxa"/>
            </w:tcMar>
          </w:tcPr>
          <w:p>
            <w:pPr>
              <w:spacing w:after="0"/>
            </w:pPr>
            <w:r>
              <w:rPr>
                <w:rFonts w:ascii="Arial" w:hAnsi="Arial"/>
                <w:b/>
                <w:color w:val="0F294A"/>
                <w:sz w:val="19"/>
              </w:rPr>
              <w:t>Version &amp; Status</w:t>
            </w:r>
          </w:p>
        </w:tc>
        <w:tc>
          <w:tcPr>
            <w:tcW w:type="dxa" w:w="6192"/>
            <w:shd w:fill="FFFFFF"/>
            <w:tcMar>
              <w:top w:w="80" w:type="dxa"/>
              <w:bottom w:w="80" w:type="dxa"/>
              <w:left w:w="120" w:type="dxa"/>
              <w:right w:w="120" w:type="dxa"/>
            </w:tcMar>
          </w:tcPr>
          <w:p>
            <w:pPr>
              <w:spacing w:after="0"/>
            </w:pPr>
            <w:r>
              <w:rPr>
                <w:rFonts w:ascii="Arial" w:hAnsi="Arial"/>
                <w:b/>
                <w:color w:val="0F172A"/>
                <w:sz w:val="19"/>
              </w:rPr>
              <w:t>Version 1.0.0 | ● APPROVED</w:t>
            </w:r>
          </w:p>
        </w:tc>
      </w:tr>
      <w:tr>
        <w:tc>
          <w:tcPr>
            <w:tcW w:type="dxa" w:w="3168"/>
            <w:shd w:fill="F1F5F9"/>
            <w:tcMar>
              <w:top w:w="80" w:type="dxa"/>
              <w:bottom w:w="80" w:type="dxa"/>
              <w:left w:w="120" w:type="dxa"/>
              <w:right w:w="120" w:type="dxa"/>
            </w:tcMar>
          </w:tcPr>
          <w:p>
            <w:pPr>
              <w:spacing w:after="0"/>
            </w:pPr>
            <w:r>
              <w:rPr>
                <w:rFonts w:ascii="Arial" w:hAnsi="Arial"/>
                <w:b/>
                <w:color w:val="0F294A"/>
                <w:sz w:val="19"/>
              </w:rPr>
              <w:t>Approval Authority</w:t>
            </w:r>
          </w:p>
        </w:tc>
        <w:tc>
          <w:tcPr>
            <w:tcW w:type="dxa" w:w="6192"/>
            <w:shd w:fill="FFFFFF"/>
            <w:tcMar>
              <w:top w:w="80" w:type="dxa"/>
              <w:bottom w:w="80" w:type="dxa"/>
              <w:left w:w="120" w:type="dxa"/>
              <w:right w:w="120" w:type="dxa"/>
            </w:tcMar>
          </w:tcPr>
          <w:p>
            <w:pPr>
              <w:spacing w:after="0"/>
            </w:pPr>
            <w:r>
              <w:rPr>
                <w:rFonts w:ascii="Arial" w:hAnsi="Arial"/>
                <w:color w:val="0F172A"/>
                <w:sz w:val="19"/>
              </w:rPr>
              <w:t>Humberto Dominguez, CEO</w:t>
            </w:r>
          </w:p>
        </w:tc>
      </w:tr>
      <w:tr>
        <w:tc>
          <w:tcPr>
            <w:tcW w:type="dxa" w:w="3168"/>
            <w:shd w:fill="F1F5F9"/>
            <w:tcMar>
              <w:top w:w="80" w:type="dxa"/>
              <w:bottom w:w="80" w:type="dxa"/>
              <w:left w:w="120" w:type="dxa"/>
              <w:right w:w="120" w:type="dxa"/>
            </w:tcMar>
          </w:tcPr>
          <w:p>
            <w:pPr>
              <w:spacing w:after="0"/>
            </w:pPr>
            <w:r>
              <w:rPr>
                <w:rFonts w:ascii="Arial" w:hAnsi="Arial"/>
                <w:b/>
                <w:color w:val="0F294A"/>
                <w:sz w:val="19"/>
              </w:rPr>
              <w:t>Date of Issuance</w:t>
            </w:r>
          </w:p>
        </w:tc>
        <w:tc>
          <w:tcPr>
            <w:tcW w:type="dxa" w:w="6192"/>
            <w:shd w:fill="FFFFFF"/>
            <w:tcMar>
              <w:top w:w="80" w:type="dxa"/>
              <w:bottom w:w="80" w:type="dxa"/>
              <w:left w:w="120" w:type="dxa"/>
              <w:right w:w="120" w:type="dxa"/>
            </w:tcMar>
          </w:tcPr>
          <w:p>
            <w:pPr>
              <w:spacing w:after="0"/>
            </w:pPr>
            <w:r>
              <w:rPr>
                <w:rFonts w:ascii="Arial" w:hAnsi="Arial"/>
                <w:color w:val="0F172A"/>
                <w:sz w:val="19"/>
              </w:rPr>
              <w:t>September 21, 2026</w:t>
            </w:r>
          </w:p>
        </w:tc>
      </w:tr>
      <w:tr>
        <w:tc>
          <w:tcPr>
            <w:tcW w:type="dxa" w:w="3168"/>
            <w:shd w:fill="F1F5F9"/>
            <w:tcMar>
              <w:top w:w="80" w:type="dxa"/>
              <w:bottom w:w="80" w:type="dxa"/>
              <w:left w:w="120" w:type="dxa"/>
              <w:right w:w="120" w:type="dxa"/>
            </w:tcMar>
          </w:tcPr>
          <w:p>
            <w:pPr>
              <w:spacing w:after="0"/>
            </w:pPr>
            <w:r>
              <w:rPr>
                <w:rFonts w:ascii="Arial" w:hAnsi="Arial"/>
                <w:b/>
                <w:color w:val="0F294A"/>
                <w:sz w:val="19"/>
              </w:rPr>
              <w:t>Regulatory &amp; Standard Alignment</w:t>
            </w:r>
          </w:p>
        </w:tc>
        <w:tc>
          <w:tcPr>
            <w:tcW w:type="dxa" w:w="6192"/>
            <w:shd w:fill="FFFFFF"/>
            <w:tcMar>
              <w:top w:w="80" w:type="dxa"/>
              <w:bottom w:w="80" w:type="dxa"/>
              <w:left w:w="120" w:type="dxa"/>
              <w:right w:w="120" w:type="dxa"/>
            </w:tcMar>
          </w:tcPr>
          <w:p>
            <w:pPr>
              <w:spacing w:after="0"/>
            </w:pPr>
            <w:r>
              <w:rPr>
                <w:rFonts w:ascii="Arial" w:hAnsi="Arial"/>
                <w:color w:val="0F172A"/>
                <w:sz w:val="19"/>
              </w:rPr>
              <w:t>OSHA 29 CFR 1910 (General Industry) | NTTA &amp; Higher Ed Compliance</w:t>
            </w:r>
          </w:p>
        </w:tc>
      </w:tr>
    </w:tbl>
    <w:p>
      <w:pPr>
        <w:spacing w:after="280"/>
      </w:pPr>
    </w:p>
    <w:p>
      <w:pPr>
        <w:spacing w:before="280" w:after="80"/>
      </w:pPr>
      <w:r>
        <w:rPr>
          <w:rFonts w:ascii="Arial" w:hAnsi="Arial"/>
          <w:b/>
          <w:color w:val="0F294A"/>
          <w:sz w:val="28"/>
        </w:rPr>
        <w:t>1.0 Purpose &amp; Institutional Scope</w:t>
      </w:r>
    </w:p>
    <w:p>
      <w:pPr>
        <w:spacing w:after="120" w:line="276" w:lineRule="auto"/>
      </w:pPr>
      <w:r>
        <w:rPr>
          <w:rFonts w:ascii="Arial" w:hAnsi="Arial"/>
          <w:color w:val="0F172A"/>
          <w:sz w:val="20"/>
        </w:rPr>
        <w:t>This plan establishes safety, health, and security standards for HWB Cleaning Services LLC personnel operating inside occupied public authority facilities, transportation centers, higher education campuses, and municipal complexes. It addresses unique environmental risks including student and pedestrian traffic, biological fluid hazards, secure facility controls, and chemical dilution management across multi-facility portfolios (such as NTTA Ancillary Facilities and Collin College).</w:t>
      </w:r>
    </w:p>
    <w:p>
      <w:pPr>
        <w:spacing w:before="280" w:after="80"/>
      </w:pPr>
      <w:r>
        <w:rPr>
          <w:rFonts w:ascii="Arial" w:hAnsi="Arial"/>
          <w:b/>
          <w:color w:val="0F294A"/>
          <w:sz w:val="28"/>
        </w:rPr>
        <w:t>2.0 Bloodborne Pathogens Exposure Control (OSHA 29 CFR 1910.1030)</w:t>
      </w:r>
    </w:p>
    <w:p>
      <w:pPr>
        <w:spacing w:after="120" w:line="276" w:lineRule="auto"/>
      </w:pPr>
      <w:r>
        <w:rPr>
          <w:rFonts w:ascii="Arial" w:hAnsi="Arial"/>
          <w:color w:val="0F172A"/>
          <w:sz w:val="20"/>
        </w:rPr>
        <w:t>Restroom sanitation, trash handling, and public area cleaning present potential risks of contact with blood or other potentially infectious materials (OPIM). HWB enforces universal precautions:</w:t>
      </w:r>
    </w:p>
    <w:p>
      <w:pPr>
        <w:pStyle w:val="ListBullet"/>
        <w:spacing w:after="60" w:line="276" w:lineRule="auto"/>
      </w:pPr>
      <w:r>
        <w:rPr>
          <w:rFonts w:ascii="Arial" w:hAnsi="Arial"/>
          <w:b/>
          <w:color w:val="0F172A"/>
          <w:sz w:val="20"/>
        </w:rPr>
        <w:t xml:space="preserve">Universal Precautions: </w:t>
      </w:r>
      <w:r>
        <w:rPr>
          <w:rFonts w:ascii="Arial" w:hAnsi="Arial"/>
          <w:color w:val="0F172A"/>
          <w:sz w:val="20"/>
        </w:rPr>
        <w:t>All human blood and bodily fluids are treated as if known to be infectious for HIV, Hepatitis B (HBV), and other pathogens.</w:t>
      </w:r>
    </w:p>
    <w:p>
      <w:pPr>
        <w:pStyle w:val="ListBullet"/>
        <w:spacing w:after="60" w:line="276" w:lineRule="auto"/>
      </w:pPr>
      <w:r>
        <w:rPr>
          <w:rFonts w:ascii="Arial" w:hAnsi="Arial"/>
          <w:b/>
          <w:color w:val="0F172A"/>
          <w:sz w:val="20"/>
        </w:rPr>
        <w:t xml:space="preserve">Mandatory Restroom PPE: </w:t>
      </w:r>
      <w:r>
        <w:rPr>
          <w:rFonts w:ascii="Arial" w:hAnsi="Arial"/>
          <w:color w:val="0F172A"/>
          <w:sz w:val="20"/>
        </w:rPr>
        <w:t>Technicians must wear disposable nitrile gloves for general restroom cleaning, and heavy-duty utility gloves when servicing toilets and urinals.</w:t>
      </w:r>
    </w:p>
    <w:p>
      <w:pPr>
        <w:pStyle w:val="ListBullet"/>
        <w:spacing w:after="60" w:line="276" w:lineRule="auto"/>
      </w:pPr>
      <w:r>
        <w:rPr>
          <w:rFonts w:ascii="Arial" w:hAnsi="Arial"/>
          <w:b/>
          <w:color w:val="0F172A"/>
          <w:sz w:val="20"/>
        </w:rPr>
        <w:t xml:space="preserve">Biohazard Spill Kits: </w:t>
      </w:r>
      <w:r>
        <w:rPr>
          <w:rFonts w:ascii="Arial" w:hAnsi="Arial"/>
          <w:color w:val="0F172A"/>
          <w:sz w:val="20"/>
        </w:rPr>
        <w:t>Every facility closet contains an OSHA-compliant Body Fluid Clean-up Spill Kit with absorbent powder, scoop, disinfectant wipes, and red biohazard disposal bags.</w:t>
      </w:r>
    </w:p>
    <w:p>
      <w:pPr>
        <w:pStyle w:val="ListBullet"/>
        <w:spacing w:after="60" w:line="276" w:lineRule="auto"/>
      </w:pPr>
      <w:r>
        <w:rPr>
          <w:rFonts w:ascii="Arial" w:hAnsi="Arial"/>
          <w:b/>
          <w:color w:val="0F172A"/>
          <w:sz w:val="20"/>
        </w:rPr>
        <w:t xml:space="preserve">Sharps Awareness: </w:t>
      </w:r>
      <w:r>
        <w:rPr>
          <w:rFonts w:ascii="Arial" w:hAnsi="Arial"/>
          <w:color w:val="0F172A"/>
          <w:sz w:val="20"/>
        </w:rPr>
        <w:t>Never push trash down with hands or feet. If a discarded syringe is found, use a mechanical grabber to place it into an approved sharps container. Never touch needles directly.</w:t>
      </w:r>
    </w:p>
    <w:p>
      <w:pPr>
        <w:pStyle w:val="ListBullet"/>
        <w:spacing w:after="60" w:line="276" w:lineRule="auto"/>
      </w:pPr>
      <w:r>
        <w:rPr>
          <w:rFonts w:ascii="Arial" w:hAnsi="Arial"/>
          <w:b/>
          <w:color w:val="0F172A"/>
          <w:sz w:val="20"/>
        </w:rPr>
        <w:t xml:space="preserve">Hepatitis B Vaccination: </w:t>
      </w:r>
      <w:r>
        <w:rPr>
          <w:rFonts w:ascii="Arial" w:hAnsi="Arial"/>
          <w:color w:val="0F172A"/>
          <w:sz w:val="20"/>
        </w:rPr>
        <w:t>Offered free of charge to all technicians with occupational exposure. Declinations must be signed on the official OSHA form.</w:t>
      </w:r>
    </w:p>
    <w:p>
      <w:pPr>
        <w:spacing w:before="280" w:after="80"/>
      </w:pPr>
      <w:r>
        <w:rPr>
          <w:rFonts w:ascii="Arial" w:hAnsi="Arial"/>
          <w:b/>
          <w:color w:val="0F294A"/>
          <w:sz w:val="28"/>
        </w:rPr>
        <w:t>3.0 Public Pedestrian Safety &amp; Slip, Trip, and Fall Prevention</w:t>
      </w:r>
    </w:p>
    <w:p>
      <w:pPr>
        <w:pStyle w:val="ListBullet"/>
        <w:spacing w:after="60" w:line="276" w:lineRule="auto"/>
      </w:pPr>
      <w:r>
        <w:rPr>
          <w:rFonts w:ascii="Arial" w:hAnsi="Arial"/>
          <w:b/>
          <w:color w:val="0F172A"/>
          <w:sz w:val="20"/>
        </w:rPr>
        <w:t xml:space="preserve">Bilingual Wet Floor Cones: </w:t>
      </w:r>
      <w:r>
        <w:rPr>
          <w:rFonts w:ascii="Arial" w:hAnsi="Arial"/>
          <w:color w:val="0F172A"/>
          <w:sz w:val="20"/>
        </w:rPr>
        <w:t>High-visibility bilingual (English/Spanish) 'Caution Wet Floor' cones must be placed at all entry points before mopping begins and left until floors are completely dry.</w:t>
      </w:r>
    </w:p>
    <w:p>
      <w:pPr>
        <w:pStyle w:val="ListBullet"/>
        <w:spacing w:after="60" w:line="276" w:lineRule="auto"/>
      </w:pPr>
      <w:r>
        <w:rPr>
          <w:rFonts w:ascii="Arial" w:hAnsi="Arial"/>
          <w:b/>
          <w:color w:val="0F172A"/>
          <w:sz w:val="20"/>
        </w:rPr>
        <w:t xml:space="preserve">Half-Hallway Mopping: </w:t>
      </w:r>
      <w:r>
        <w:rPr>
          <w:rFonts w:ascii="Arial" w:hAnsi="Arial"/>
          <w:color w:val="0F172A"/>
          <w:sz w:val="20"/>
        </w:rPr>
        <w:t>In corridors and lobbies, technicians must mop only one half of the corridor width at a time, leaving the other half dry and unobstructed for public egress.</w:t>
      </w:r>
    </w:p>
    <w:p>
      <w:pPr>
        <w:pStyle w:val="ListBullet"/>
        <w:spacing w:after="60" w:line="276" w:lineRule="auto"/>
      </w:pPr>
      <w:r>
        <w:rPr>
          <w:rFonts w:ascii="Arial" w:hAnsi="Arial"/>
          <w:b/>
          <w:color w:val="0F172A"/>
          <w:sz w:val="20"/>
        </w:rPr>
        <w:t xml:space="preserve">Cord Management: </w:t>
      </w:r>
      <w:r>
        <w:rPr>
          <w:rFonts w:ascii="Arial" w:hAnsi="Arial"/>
          <w:color w:val="0F172A"/>
          <w:sz w:val="20"/>
        </w:rPr>
        <w:t>Power cords for backpack vacuums and burnishers must never cross open doorways without heavy-duty yellow rubber cable ramps.</w:t>
      </w:r>
    </w:p>
    <w:p>
      <w:pPr>
        <w:pStyle w:val="ListBullet"/>
        <w:spacing w:after="60" w:line="276" w:lineRule="auto"/>
      </w:pPr>
      <w:r>
        <w:rPr>
          <w:rFonts w:ascii="Arial" w:hAnsi="Arial"/>
          <w:b/>
          <w:color w:val="0F172A"/>
          <w:sz w:val="20"/>
        </w:rPr>
        <w:t xml:space="preserve">Rain &amp; Freeze Walk-Off Mats: </w:t>
      </w:r>
      <w:r>
        <w:rPr>
          <w:rFonts w:ascii="Arial" w:hAnsi="Arial"/>
          <w:color w:val="0F172A"/>
          <w:sz w:val="20"/>
        </w:rPr>
        <w:t>Entrance mats must be monitored hourly during wet weather, and standing water extracted immediately.</w:t>
      </w:r>
    </w:p>
    <w:p>
      <w:pPr>
        <w:spacing w:before="280" w:after="80"/>
      </w:pPr>
      <w:r>
        <w:rPr>
          <w:rFonts w:ascii="Arial" w:hAnsi="Arial"/>
          <w:b/>
          <w:color w:val="0F294A"/>
          <w:sz w:val="28"/>
        </w:rPr>
        <w:t>4.0 Chemical Dilution Systems &amp; GHS Secondary Labeling (OSHA 1910.1200)</w:t>
      </w:r>
    </w:p>
    <w:p>
      <w:pPr>
        <w:pStyle w:val="ListBullet"/>
        <w:spacing w:after="60" w:line="276" w:lineRule="auto"/>
      </w:pPr>
      <w:r>
        <w:rPr>
          <w:rFonts w:ascii="Arial" w:hAnsi="Arial"/>
          <w:b/>
          <w:color w:val="0F172A"/>
          <w:sz w:val="20"/>
        </w:rPr>
        <w:t xml:space="preserve">Closed-Loop Dilution Dispensers: </w:t>
      </w:r>
      <w:r>
        <w:rPr>
          <w:rFonts w:ascii="Arial" w:hAnsi="Arial"/>
          <w:color w:val="0F172A"/>
          <w:sz w:val="20"/>
        </w:rPr>
        <w:t>Concentrated chemicals must be mixed using wall-mounted dilution stations that meter exact water ratios, eliminating manual pouring hazards.</w:t>
      </w:r>
    </w:p>
    <w:p>
      <w:pPr>
        <w:pStyle w:val="ListBullet"/>
        <w:spacing w:after="60" w:line="276" w:lineRule="auto"/>
      </w:pPr>
      <w:r>
        <w:rPr>
          <w:rFonts w:ascii="Arial" w:hAnsi="Arial"/>
          <w:b/>
          <w:color w:val="0F172A"/>
          <w:sz w:val="20"/>
        </w:rPr>
        <w:t xml:space="preserve">Secondary Container Labeling: </w:t>
      </w:r>
      <w:r>
        <w:rPr>
          <w:rFonts w:ascii="Arial" w:hAnsi="Arial"/>
          <w:color w:val="0F172A"/>
          <w:sz w:val="20"/>
        </w:rPr>
        <w:t>Every spray bottle must carry a factory-printed GHS label showing the chemical name, manufacturer, and hazard pictograms.</w:t>
      </w:r>
    </w:p>
    <w:p>
      <w:pPr>
        <w:pStyle w:val="ListBullet"/>
        <w:spacing w:after="60" w:line="276" w:lineRule="auto"/>
      </w:pPr>
      <w:r>
        <w:rPr>
          <w:rFonts w:ascii="Arial" w:hAnsi="Arial"/>
          <w:b/>
          <w:color w:val="0F172A"/>
          <w:sz w:val="20"/>
        </w:rPr>
        <w:t xml:space="preserve">Janitorial Closets &amp; Slop Sinks: </w:t>
      </w:r>
      <w:r>
        <w:rPr>
          <w:rFonts w:ascii="Arial" w:hAnsi="Arial"/>
          <w:color w:val="0F172A"/>
          <w:sz w:val="20"/>
        </w:rPr>
        <w:t>Closets must remain locked when unattended. Slop sinks must be drained and cleaned after each shift. Chemicals must be stored off the floor.</w:t>
      </w:r>
    </w:p>
    <w:p>
      <w:pPr>
        <w:pStyle w:val="ListBullet"/>
        <w:spacing w:after="60" w:line="276" w:lineRule="auto"/>
      </w:pPr>
      <w:r>
        <w:rPr>
          <w:rFonts w:ascii="Arial" w:hAnsi="Arial"/>
          <w:b/>
          <w:color w:val="0F172A"/>
          <w:sz w:val="20"/>
        </w:rPr>
        <w:t xml:space="preserve">Emergency Eye Wash: </w:t>
      </w:r>
      <w:r>
        <w:rPr>
          <w:rFonts w:ascii="Arial" w:hAnsi="Arial"/>
          <w:color w:val="0F172A"/>
          <w:sz w:val="20"/>
        </w:rPr>
        <w:t>Eye wash stations must have unobstructed access and receive weekly visual inspections.</w:t>
      </w:r>
    </w:p>
    <w:p>
      <w:pPr>
        <w:spacing w:before="280" w:after="80"/>
      </w:pPr>
      <w:r>
        <w:rPr>
          <w:rFonts w:ascii="Arial" w:hAnsi="Arial"/>
          <w:b/>
          <w:color w:val="0F294A"/>
          <w:sz w:val="28"/>
        </w:rPr>
        <w:t>5.0 Commercial Floor Care Machinery Protocols</w:t>
      </w:r>
    </w:p>
    <w:p>
      <w:pPr>
        <w:pStyle w:val="ListBullet"/>
        <w:spacing w:after="60" w:line="276" w:lineRule="auto"/>
      </w:pPr>
      <w:r>
        <w:rPr>
          <w:rFonts w:ascii="Arial" w:hAnsi="Arial"/>
          <w:b/>
          <w:color w:val="0F172A"/>
          <w:sz w:val="20"/>
        </w:rPr>
        <w:t xml:space="preserve">Auto-Scrubbers (Walk-Behind &amp; Ride-On): </w:t>
      </w:r>
      <w:r>
        <w:rPr>
          <w:rFonts w:ascii="Arial" w:hAnsi="Arial"/>
          <w:color w:val="0F172A"/>
          <w:sz w:val="20"/>
        </w:rPr>
        <w:t>Operate at walking pace with headlights and amber beacons active. Slow down at corridor intersections.</w:t>
      </w:r>
    </w:p>
    <w:p>
      <w:pPr>
        <w:pStyle w:val="ListBullet"/>
        <w:spacing w:after="60" w:line="276" w:lineRule="auto"/>
      </w:pPr>
      <w:r>
        <w:rPr>
          <w:rFonts w:ascii="Arial" w:hAnsi="Arial"/>
          <w:b/>
          <w:color w:val="0F172A"/>
          <w:sz w:val="20"/>
        </w:rPr>
        <w:t xml:space="preserve">Battery Charging Ventilation: </w:t>
      </w:r>
      <w:r>
        <w:rPr>
          <w:rFonts w:ascii="Arial" w:hAnsi="Arial"/>
          <w:color w:val="0F172A"/>
          <w:sz w:val="20"/>
        </w:rPr>
        <w:t>Lead-acid batteries must be charged only in well-ventilated areas away from sparks to prevent hydrogen gas accumulation.</w:t>
      </w:r>
    </w:p>
    <w:p>
      <w:pPr>
        <w:pStyle w:val="ListBullet"/>
        <w:spacing w:after="60" w:line="276" w:lineRule="auto"/>
      </w:pPr>
      <w:r>
        <w:rPr>
          <w:rFonts w:ascii="Arial" w:hAnsi="Arial"/>
          <w:b/>
          <w:color w:val="0F172A"/>
          <w:sz w:val="20"/>
        </w:rPr>
        <w:t xml:space="preserve">High-Speed Burnishers: </w:t>
      </w:r>
      <w:r>
        <w:rPr>
          <w:rFonts w:ascii="Arial" w:hAnsi="Arial"/>
          <w:color w:val="0F172A"/>
          <w:sz w:val="20"/>
        </w:rPr>
        <w:t>Inspect pad centering locks and power cords prior to each operation. Never leave running machines unattended.</w:t>
      </w:r>
    </w:p>
    <w:p>
      <w:pPr>
        <w:spacing w:before="280" w:after="80"/>
      </w:pPr>
      <w:r>
        <w:rPr>
          <w:rFonts w:ascii="Arial" w:hAnsi="Arial"/>
          <w:b/>
          <w:color w:val="0F294A"/>
          <w:sz w:val="28"/>
        </w:rPr>
        <w:t>6.0 Facility Security, Access Badging &amp; Weapon-Free Policy</w:t>
      </w:r>
    </w:p>
    <w:p>
      <w:pPr>
        <w:spacing w:after="120" w:line="276" w:lineRule="auto"/>
      </w:pPr>
      <w:r>
        <w:rPr>
          <w:rFonts w:ascii="Arial" w:hAnsi="Arial"/>
          <w:color w:val="0F172A"/>
          <w:sz w:val="20"/>
        </w:rPr>
        <w:t>Public authority contracts (such as NTTA toll plazas and administrative centers) and educational campuses mandate strict security controls:</w:t>
      </w:r>
    </w:p>
    <w:p>
      <w:pPr>
        <w:pStyle w:val="ListBullet"/>
        <w:spacing w:after="60" w:line="276" w:lineRule="auto"/>
      </w:pPr>
      <w:r>
        <w:rPr>
          <w:rFonts w:ascii="Arial" w:hAnsi="Arial"/>
          <w:b/>
          <w:color w:val="0F172A"/>
          <w:sz w:val="20"/>
        </w:rPr>
        <w:t xml:space="preserve">Photo ID Badges: </w:t>
      </w:r>
      <w:r>
        <w:rPr>
          <w:rFonts w:ascii="Arial" w:hAnsi="Arial"/>
          <w:color w:val="0F172A"/>
          <w:sz w:val="20"/>
        </w:rPr>
        <w:t>HWB photo ID badges and agency-issued access badges must be displayed on outer garments above the waist at all times.</w:t>
      </w:r>
    </w:p>
    <w:p>
      <w:pPr>
        <w:pStyle w:val="ListBullet"/>
        <w:spacing w:after="60" w:line="276" w:lineRule="auto"/>
      </w:pPr>
      <w:r>
        <w:rPr>
          <w:rFonts w:ascii="Arial" w:hAnsi="Arial"/>
          <w:b/>
          <w:color w:val="0F172A"/>
          <w:sz w:val="20"/>
        </w:rPr>
        <w:t xml:space="preserve">Exterior Door Custody: </w:t>
      </w:r>
      <w:r>
        <w:rPr>
          <w:rFonts w:ascii="Arial" w:hAnsi="Arial"/>
          <w:color w:val="0F172A"/>
          <w:sz w:val="20"/>
        </w:rPr>
        <w:t>Exterior doors must NEVER be propped open with wedges or trash cans. Doors must latch securely upon entering or leaving.</w:t>
      </w:r>
    </w:p>
    <w:p>
      <w:pPr>
        <w:pStyle w:val="ListBullet"/>
        <w:spacing w:after="60" w:line="276" w:lineRule="auto"/>
      </w:pPr>
      <w:r>
        <w:rPr>
          <w:rFonts w:ascii="Arial" w:hAnsi="Arial"/>
          <w:b/>
          <w:color w:val="0F172A"/>
          <w:sz w:val="20"/>
        </w:rPr>
        <w:t xml:space="preserve">Key &amp; Fob Custody: </w:t>
      </w:r>
      <w:r>
        <w:rPr>
          <w:rFonts w:ascii="Arial" w:hAnsi="Arial"/>
          <w:color w:val="0F172A"/>
          <w:sz w:val="20"/>
        </w:rPr>
        <w:t>Master keys and fobs must remain clipped to the supervisor's belt and returned to lockboxes at shift end. Duplicating keys is strictly prohibited.</w:t>
      </w:r>
    </w:p>
    <w:p>
      <w:pPr>
        <w:pStyle w:val="ListBullet"/>
        <w:spacing w:after="60" w:line="276" w:lineRule="auto"/>
      </w:pPr>
      <w:r>
        <w:rPr>
          <w:rFonts w:ascii="Arial" w:hAnsi="Arial"/>
          <w:b/>
          <w:color w:val="0F172A"/>
          <w:sz w:val="20"/>
        </w:rPr>
        <w:t xml:space="preserve">Background Screening: </w:t>
      </w:r>
      <w:r>
        <w:rPr>
          <w:rFonts w:ascii="Arial" w:hAnsi="Arial"/>
          <w:color w:val="0F172A"/>
          <w:sz w:val="20"/>
        </w:rPr>
        <w:t>All personnel must pass 7-year statewide criminal background checks (including CJIS and FERPA clearances).</w:t>
      </w:r>
    </w:p>
    <w:p>
      <w:pPr>
        <w:pStyle w:val="ListBullet"/>
        <w:spacing w:after="60" w:line="276" w:lineRule="auto"/>
      </w:pPr>
      <w:r>
        <w:rPr>
          <w:rFonts w:ascii="Arial" w:hAnsi="Arial"/>
          <w:b/>
          <w:color w:val="0F172A"/>
          <w:sz w:val="20"/>
        </w:rPr>
        <w:t xml:space="preserve">Weapon-Free Workplace Covenant: </w:t>
      </w:r>
      <w:r>
        <w:rPr>
          <w:rFonts w:ascii="Arial" w:hAnsi="Arial"/>
          <w:color w:val="0F172A"/>
          <w:sz w:val="20"/>
        </w:rPr>
        <w:t>Carrying firearms, concealed handguns, knives over 3 inches, or weapons onto NTTA or campus property is strictly forbidden by contract and results in immediate arrest, termination, and contract removal.</w:t>
      </w:r>
    </w:p>
    <w:p>
      <w:pPr>
        <w:spacing w:before="280" w:after="80"/>
      </w:pPr>
      <w:r>
        <w:rPr>
          <w:rFonts w:ascii="Arial" w:hAnsi="Arial"/>
          <w:b/>
          <w:color w:val="0F294A"/>
          <w:sz w:val="28"/>
        </w:rPr>
        <w:t>7.0 Custodial Ergonomics &amp; Zero-Injury Mechanics</w:t>
      </w:r>
    </w:p>
    <w:p>
      <w:pPr>
        <w:pStyle w:val="ListBullet"/>
        <w:spacing w:after="60" w:line="276" w:lineRule="auto"/>
      </w:pPr>
      <w:r>
        <w:rPr>
          <w:rFonts w:ascii="Arial" w:hAnsi="Arial"/>
          <w:b/>
          <w:color w:val="0F172A"/>
          <w:sz w:val="20"/>
        </w:rPr>
        <w:t xml:space="preserve">Backpack Vacuum Adjustment: </w:t>
      </w:r>
      <w:r>
        <w:rPr>
          <w:rFonts w:ascii="Arial" w:hAnsi="Arial"/>
          <w:color w:val="0F172A"/>
          <w:sz w:val="20"/>
        </w:rPr>
        <w:t>Tighten waist belt first so that 80% of weight rests on the hips, not shoulders. Maintain upright posture and arm sweeping motions.</w:t>
      </w:r>
    </w:p>
    <w:p>
      <w:pPr>
        <w:pStyle w:val="ListBullet"/>
        <w:spacing w:after="60" w:line="276" w:lineRule="auto"/>
      </w:pPr>
      <w:r>
        <w:rPr>
          <w:rFonts w:ascii="Arial" w:hAnsi="Arial"/>
          <w:b/>
          <w:color w:val="0F172A"/>
          <w:sz w:val="20"/>
        </w:rPr>
        <w:t xml:space="preserve">Mop Bucket Mechanics: </w:t>
      </w:r>
      <w:r>
        <w:rPr>
          <w:rFonts w:ascii="Arial" w:hAnsi="Arial"/>
          <w:color w:val="0F172A"/>
          <w:sz w:val="20"/>
        </w:rPr>
        <w:t>Never lift full 5-gallon mop buckets. Utilize bucket wheels and pour spouts, emptying frequently to keep lift weights under 25 pounds.</w:t>
      </w:r>
    </w:p>
    <w:p>
      <w:pPr>
        <w:pStyle w:val="ListBullet"/>
        <w:spacing w:after="60" w:line="276" w:lineRule="auto"/>
      </w:pPr>
      <w:r>
        <w:rPr>
          <w:rFonts w:ascii="Arial" w:hAnsi="Arial"/>
          <w:b/>
          <w:color w:val="0F172A"/>
          <w:sz w:val="20"/>
        </w:rPr>
        <w:t xml:space="preserve">Trash Can Tipping: </w:t>
      </w:r>
      <w:r>
        <w:rPr>
          <w:rFonts w:ascii="Arial" w:hAnsi="Arial"/>
          <w:color w:val="0F172A"/>
          <w:sz w:val="20"/>
        </w:rPr>
        <w:t>Use 2-person team lifts when emptying heavy 44-gallon trash barrels into exterior dumpsters.</w:t>
      </w:r>
    </w:p>
    <w:p>
      <w:pPr>
        <w:spacing w:before="280" w:after="80"/>
      </w:pPr>
      <w:r>
        <w:rPr>
          <w:rFonts w:ascii="Arial" w:hAnsi="Arial"/>
          <w:b/>
          <w:color w:val="0F294A"/>
          <w:sz w:val="28"/>
        </w:rPr>
        <w:t>8.0 Emergency Action Plans in Occupied Facilities</w:t>
      </w:r>
    </w:p>
    <w:p>
      <w:pPr>
        <w:pStyle w:val="ListBullet"/>
        <w:spacing w:after="60" w:line="276" w:lineRule="auto"/>
      </w:pPr>
      <w:r>
        <w:rPr>
          <w:rFonts w:ascii="Arial" w:hAnsi="Arial"/>
          <w:b/>
          <w:color w:val="0F172A"/>
          <w:sz w:val="20"/>
        </w:rPr>
        <w:t xml:space="preserve">Active Threat (Run / Hide / Fight): </w:t>
      </w:r>
      <w:r>
        <w:rPr>
          <w:rFonts w:ascii="Arial" w:hAnsi="Arial"/>
          <w:color w:val="0F172A"/>
          <w:sz w:val="20"/>
        </w:rPr>
        <w:t>Know two exit routes from every zone. Evacuate immediately if safe, or shelter in locked utility closets with radios silenced.</w:t>
      </w:r>
    </w:p>
    <w:p>
      <w:pPr>
        <w:pStyle w:val="ListBullet"/>
        <w:spacing w:after="60" w:line="276" w:lineRule="auto"/>
      </w:pPr>
      <w:r>
        <w:rPr>
          <w:rFonts w:ascii="Arial" w:hAnsi="Arial"/>
          <w:b/>
          <w:color w:val="0F172A"/>
          <w:sz w:val="20"/>
        </w:rPr>
        <w:t xml:space="preserve">Fire Alarms: </w:t>
      </w:r>
      <w:r>
        <w:rPr>
          <w:rFonts w:ascii="Arial" w:hAnsi="Arial"/>
          <w:color w:val="0F172A"/>
          <w:sz w:val="20"/>
        </w:rPr>
        <w:t>Evacuate immediately upon alarm. Guide occupants toward exit signs and assemble at the facility muster area.</w:t>
      </w:r>
    </w:p>
    <w:p>
      <w:pPr>
        <w:pStyle w:val="ListBullet"/>
        <w:spacing w:after="60" w:line="276" w:lineRule="auto"/>
      </w:pPr>
      <w:r>
        <w:rPr>
          <w:rFonts w:ascii="Arial" w:hAnsi="Arial"/>
          <w:b/>
          <w:color w:val="0F172A"/>
          <w:sz w:val="20"/>
        </w:rPr>
        <w:t xml:space="preserve">Agency Dispatch Notification: </w:t>
      </w:r>
      <w:r>
        <w:rPr>
          <w:rFonts w:ascii="Arial" w:hAnsi="Arial"/>
          <w:color w:val="0F172A"/>
          <w:sz w:val="20"/>
        </w:rPr>
        <w:t>In an emergency, call 911 first, then contact NTTA Operations Center or Campus Police dispatch desk using official emergency lines.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