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83142" cy="785333"/>
            <wp:effectExtent b="0" l="0" r="0" t="0"/>
            <wp:docPr descr="C:\users\lenovo\OneDrive\Desktop\TECHNOFLUID LOGO SINCE 1971.jpeg" id="1" name="image1.jpg"/>
            <a:graphic>
              <a:graphicData uri="http://schemas.openxmlformats.org/drawingml/2006/picture">
                <pic:pic>
                  <pic:nvPicPr>
                    <pic:cNvPr descr="C:\users\lenovo\OneDrive\Desktop\TECHNOFLUID LOGO SINCE 1971.jpe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42" cy="78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  <w:rtl w:val="0"/>
        </w:rPr>
        <w:t xml:space="preserve">PRODUCT DATA SHEET</w:t>
      </w:r>
    </w:p>
    <w:p w:rsidR="00000000" w:rsidDel="00000000" w:rsidP="00000000" w:rsidRDefault="00000000" w:rsidRPr="00000000" w14:paraId="00000003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TECHNOFLUID TURBINE OILS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b45a5a"/>
          <w:rtl w:val="0"/>
        </w:rPr>
        <w:t xml:space="preserve">Commercial / Pack Name: ISO VG 32 / 46 / 68 /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Product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Premium turbine oils formulated from highly refined base oils and advanced anti-oxidant technology.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for steam, gas and hydro turbine lubrication systems.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oxidation stability and long service life.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Superior rust, corrosion and foam protection.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Available in ISO VG 32, 46, 68 and 100 grades.</w:t>
      </w:r>
    </w:p>
    <w:p w:rsidR="00000000" w:rsidDel="00000000" w:rsidP="00000000" w:rsidRDefault="00000000" w:rsidRPr="00000000" w14:paraId="0000000B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Key Performance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Outstanding oxidation and thermal stability.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water separation characteristics.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Rapid air release and low foaming tendency.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Reliable rust and corrosion protection.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Extended oil drain intervals and reduced maintenance.</w:t>
      </w:r>
    </w:p>
    <w:p w:rsidR="00000000" w:rsidDel="00000000" w:rsidP="00000000" w:rsidRDefault="00000000" w:rsidRPr="00000000" w14:paraId="00000011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Steam turbines.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Gas turbines.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Hydroelectric turbines.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Industrial circulating lubrication systems.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Power generation and process industries.</w:t>
      </w:r>
    </w:p>
    <w:p w:rsidR="00000000" w:rsidDel="00000000" w:rsidP="00000000" w:rsidRDefault="00000000" w:rsidRPr="00000000" w14:paraId="00000017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0"/>
          <w:szCs w:val="30"/>
          <w:rtl w:val="0"/>
        </w:rPr>
        <w:t xml:space="preserve">INDUSTRY PERFORMANCE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oxidation stability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demulsibility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Rapid air release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 foaming tendency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Long service life</w:t>
      </w:r>
    </w:p>
    <w:p w:rsidR="00000000" w:rsidDel="00000000" w:rsidP="00000000" w:rsidRDefault="00000000" w:rsidRPr="00000000" w14:paraId="0000001D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Typical Characteristics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32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46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68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Appearance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Density @29.5°C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0.845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0.850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0.855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K.V @40°C cSt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Viscosity Index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Pour Point °C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-18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-15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-12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Flash Point (COC) °C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210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220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230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240</w:t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0" w:tblpY="0"/>
        <w:tblW w:w="9795.0" w:type="dxa"/>
        <w:jc w:val="left"/>
        <w:tblLayout w:type="fixed"/>
        <w:tblLook w:val="0600"/>
      </w:tblPr>
      <w:tblGrid>
        <w:gridCol w:w="2895"/>
        <w:gridCol w:w="2445"/>
        <w:gridCol w:w="1890"/>
        <w:gridCol w:w="2565"/>
        <w:tblGridChange w:id="0">
          <w:tblGrid>
            <w:gridCol w:w="2895"/>
            <w:gridCol w:w="2445"/>
            <w:gridCol w:w="1890"/>
            <w:gridCol w:w="256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spacing w:before="6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bookmarkStart w:colFirst="0" w:colLast="0" w:name="_heading=h.3g7ht3i74aa8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spacing w:before="40" w:line="240" w:lineRule="auto"/>
              <w:ind w:left="110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spacing w:before="4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spacing w:before="4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before="60" w:line="264" w:lineRule="auto"/>
              <w:ind w:left="0" w:right="14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n0329bmyzp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vBCeMpsJSpYaG7LVq13Njt4IQw==">CgMxLjAyDmguM2c3aHQzaTc0YWE4Mg5oLnRuMDMyOWJteXpwNTgAciExOWZKSy1tWFlqUUVMRGE3aExPWUVpVUpUdkdnMzlEZVA=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