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Beta Enterprise Quarterly Review</w:t>
      </w:r>
    </w:p>
    <w:p>
      <w:r>
        <w:t>Organic ARR grew by 45% and EBITDA margin expanded significantly over the fiscal year.</w:t>
      </w:r>
    </w:p>
    <w:p>
      <w:r>
        <w:t>Free cash flow reached \ million with zero long-term debt maturing in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