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3a70"/>
          <w:sz w:val="56"/>
          <w:szCs w:val="56"/>
        </w:rPr>
        <w:t xml:space="preserve">KORA</w:t>
      </w:r>
    </w:p>
    <w:p>
      <w:pPr>
        <w:spacing w:after="40"/>
      </w:pPr>
      <w:r>
        <w:rPr>
          <w:color w:val="6b7280"/>
          <w:sz w:val="26"/>
          <w:szCs w:val="26"/>
        </w:rPr>
        <w:t xml:space="preserve">School Wallet and Financial Management Platform</w:t>
      </w:r>
    </w:p>
    <w:p>
      <w:pPr>
        <w:spacing w:after="400"/>
      </w:pPr>
      <w:r>
        <w:rPr>
          <w:i/>
          <w:iCs/>
          <w:color w:val="6b7280"/>
          <w:sz w:val="22"/>
          <w:szCs w:val="22"/>
        </w:rPr>
        <w:t xml:space="preserve">Product and Technical Report</w:t>
      </w:r>
    </w:p>
    <w:p>
      <w:pPr>
        <w:pStyle w:val="Heading1"/>
        <w:spacing w:after="200" w:before="400"/>
      </w:pPr>
      <w:r>
        <w:t xml:space="preserve">1. Executive Summary</w:t>
      </w:r>
    </w:p>
    <w:p>
      <w:pPr>
        <w:spacing w:after="160"/>
      </w:pPr>
      <w:r>
        <w:t xml:space="preserve">Kora is a school financial management platform built for K to 12 schools in Uganda and the wider East African region. It combines a cashless canteen point of sale system, a parent controlled student pocket money wallet, tuition and term billing, staff and device accountability, and academic report card generation into a single web based system.</w:t>
      </w:r>
    </w:p>
    <w:p>
      <w:pPr>
        <w:spacing w:after="160"/>
      </w:pPr>
      <w:r>
        <w:t xml:space="preserve">The platform is built on PHP using the Yii2 framework, backed by a PostgreSQL database, and designed around three core principles. The first is financial integrity: no duplicate charges and complete audit trails for every transaction. The second is accountability: every transaction is traceable to a device and a staff member. The third is inclusivity: spending guardrails are opt in rather than mandatory, in recognition of the varying financial circumstances of different families.</w:t>
      </w:r>
    </w:p>
    <w:p>
      <w:pPr>
        <w:spacing w:after="160"/>
      </w:pPr>
      <w:r>
        <w:t xml:space="preserve">This report describes the platform's current feature set, its role based access model, its approach to financial safety, and its technical foundations, followed by a short roadmap of planned work.</w:t>
      </w:r>
    </w:p>
    <w:p>
      <w:pPr>
        <w:pStyle w:val="Heading1"/>
        <w:spacing w:after="200" w:before="400"/>
      </w:pPr>
      <w:r>
        <w:t xml:space="preserve">2. Core Feature 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0f3a70" w:val="clear"/>
          </w:tcPr>
          <w:p>
            <w:r>
              <w:rPr>
                <w:b/>
                <w:bCs/>
                <w:color w:val="FFFFFF"/>
                <w:sz w:val="20"/>
                <w:szCs w:val="20"/>
              </w:rPr>
              <w:t xml:space="preserve">Module</w:t>
            </w:r>
          </w:p>
        </w:tc>
        <w:tc>
          <w:tcPr>
            <w:tcW w:type="dxa" w:w="7000"/>
            <w:shd w:fill="0f3a70" w:val="clear"/>
          </w:tcPr>
          <w:p>
            <w:r>
              <w:rPr>
                <w:b/>
                <w:bCs/>
                <w:color w:val="FFFFFF"/>
                <w:sz w:val="20"/>
                <w:szCs w:val="20"/>
              </w:rPr>
              <w:t xml:space="preserve">Capability</w:t>
            </w:r>
          </w:p>
        </w:tc>
      </w:tr>
      <w:tr>
        <w:tc>
          <w:tcPr>
            <w:tcW w:type="dxa" w:w="2600"/>
          </w:tcPr>
          <w:p>
            <w:r>
              <w:rPr>
                <w:b w:val="false"/>
                <w:bCs w:val="false"/>
                <w:sz w:val="20"/>
                <w:szCs w:val="20"/>
              </w:rPr>
              <w:t xml:space="preserve">S-Wallet</w:t>
            </w:r>
          </w:p>
        </w:tc>
        <w:tc>
          <w:tcPr>
            <w:tcW w:type="dxa" w:w="7000"/>
          </w:tcPr>
          <w:p>
            <w:r>
              <w:rPr>
                <w:b w:val="false"/>
                <w:bCs w:val="false"/>
                <w:sz w:val="20"/>
                <w:szCs w:val="20"/>
              </w:rPr>
              <w:t xml:space="preserve">Student pocket money wallet with a daily spend cap, opt in per purchase minimum and maximum guardrails, and low balance email alerts to parents.</w:t>
            </w:r>
          </w:p>
        </w:tc>
      </w:tr>
      <w:tr>
        <w:tc>
          <w:tcPr>
            <w:tcW w:type="dxa" w:w="2600"/>
          </w:tcPr>
          <w:p>
            <w:r>
              <w:rPr>
                <w:b w:val="false"/>
                <w:bCs w:val="false"/>
                <w:sz w:val="20"/>
                <w:szCs w:val="20"/>
              </w:rPr>
              <w:t xml:space="preserve">Canteen POS</w:t>
            </w:r>
          </w:p>
        </w:tc>
        <w:tc>
          <w:tcPr>
            <w:tcW w:type="dxa" w:w="7000"/>
          </w:tcPr>
          <w:p>
            <w:r>
              <w:rPr>
                <w:b w:val="false"/>
                <w:bCs w:val="false"/>
                <w:sz w:val="20"/>
                <w:szCs w:val="20"/>
              </w:rPr>
              <w:t xml:space="preserve">Device assigned, staff attributed sales. Every canteen transaction is traceable to a specific terminal and the cashier who processed it.</w:t>
            </w:r>
          </w:p>
        </w:tc>
      </w:tr>
      <w:tr>
        <w:tc>
          <w:tcPr>
            <w:tcW w:type="dxa" w:w="2600"/>
          </w:tcPr>
          <w:p>
            <w:r>
              <w:rPr>
                <w:b w:val="false"/>
                <w:bCs w:val="false"/>
                <w:sz w:val="20"/>
                <w:szCs w:val="20"/>
              </w:rPr>
              <w:t xml:space="preserve">Staff Directory</w:t>
            </w:r>
          </w:p>
        </w:tc>
        <w:tc>
          <w:tcPr>
            <w:tcW w:type="dxa" w:w="7000"/>
          </w:tcPr>
          <w:p>
            <w:r>
              <w:rPr>
                <w:b w:val="false"/>
                <w:bCs w:val="false"/>
                <w:sz w:val="20"/>
                <w:szCs w:val="20"/>
              </w:rPr>
              <w:t xml:space="preserve">Employment status lifecycle (Active, Inactive, On Leave, Terminated) with automatic session revocation and terminal reassignment on status change.</w:t>
            </w:r>
          </w:p>
        </w:tc>
      </w:tr>
      <w:tr>
        <w:tc>
          <w:tcPr>
            <w:tcW w:type="dxa" w:w="2600"/>
          </w:tcPr>
          <w:p>
            <w:r>
              <w:rPr>
                <w:b w:val="false"/>
                <w:bCs w:val="false"/>
                <w:sz w:val="20"/>
                <w:szCs w:val="20"/>
              </w:rPr>
              <w:t xml:space="preserve">Sponsorship</w:t>
            </w:r>
          </w:p>
        </w:tc>
        <w:tc>
          <w:tcPr>
            <w:tcW w:type="dxa" w:w="7000"/>
          </w:tcPr>
          <w:p>
            <w:r>
              <w:rPr>
                <w:b w:val="false"/>
                <w:bCs w:val="false"/>
                <w:sz w:val="20"/>
                <w:szCs w:val="20"/>
              </w:rPr>
              <w:t xml:space="preserve">Opt in, privacy preserving wallet top ups from relatives, alumni, or donors through a private link. Never a public directory.</w:t>
            </w:r>
          </w:p>
        </w:tc>
      </w:tr>
      <w:tr>
        <w:tc>
          <w:tcPr>
            <w:tcW w:type="dxa" w:w="2600"/>
          </w:tcPr>
          <w:p>
            <w:r>
              <w:rPr>
                <w:b w:val="false"/>
                <w:bCs w:val="false"/>
                <w:sz w:val="20"/>
                <w:szCs w:val="20"/>
              </w:rPr>
              <w:t xml:space="preserve">Term Management</w:t>
            </w:r>
          </w:p>
        </w:tc>
        <w:tc>
          <w:tcPr>
            <w:tcW w:type="dxa" w:w="7000"/>
          </w:tcPr>
          <w:p>
            <w:r>
              <w:rPr>
                <w:b w:val="false"/>
                <w:bCs w:val="false"/>
                <w:sz w:val="20"/>
                <w:szCs w:val="20"/>
              </w:rPr>
              <w:t xml:space="preserve">Structured term and year rollover with a full audit trail, safe single step reversal, and multi year term history.</w:t>
            </w:r>
          </w:p>
        </w:tc>
      </w:tr>
      <w:tr>
        <w:tc>
          <w:tcPr>
            <w:tcW w:type="dxa" w:w="2600"/>
          </w:tcPr>
          <w:p>
            <w:r>
              <w:rPr>
                <w:b w:val="false"/>
                <w:bCs w:val="false"/>
                <w:sz w:val="20"/>
                <w:szCs w:val="20"/>
              </w:rPr>
              <w:t xml:space="preserve">Report Cards</w:t>
            </w:r>
          </w:p>
        </w:tc>
        <w:tc>
          <w:tcPr>
            <w:tcW w:type="dxa" w:w="7000"/>
          </w:tcPr>
          <w:p>
            <w:r>
              <w:rPr>
                <w:b w:val="false"/>
                <w:bCs w:val="false"/>
                <w:sz w:val="20"/>
                <w:szCs w:val="20"/>
              </w:rPr>
              <w:t xml:space="preserve">Multi year, multi term academic report generation, batch printing for cleared students, and CSV export of class marks.</w:t>
            </w:r>
          </w:p>
        </w:tc>
      </w:tr>
      <w:tr>
        <w:tc>
          <w:tcPr>
            <w:tcW w:type="dxa" w:w="2600"/>
          </w:tcPr>
          <w:p>
            <w:r>
              <w:rPr>
                <w:b w:val="false"/>
                <w:bCs w:val="false"/>
                <w:sz w:val="20"/>
                <w:szCs w:val="20"/>
              </w:rPr>
              <w:t xml:space="preserve">Expense Claims</w:t>
            </w:r>
          </w:p>
        </w:tc>
        <w:tc>
          <w:tcPr>
            <w:tcW w:type="dxa" w:w="7000"/>
          </w:tcPr>
          <w:p>
            <w:r>
              <w:rPr>
                <w:b w:val="false"/>
                <w:bCs w:val="false"/>
                <w:sz w:val="20"/>
                <w:szCs w:val="20"/>
              </w:rPr>
              <w:t xml:space="preserve">Petty cash claim submission, review, and approval workflow with idempotent transaction logging.</w:t>
            </w:r>
          </w:p>
        </w:tc>
      </w:tr>
      <w:tr>
        <w:tc>
          <w:tcPr>
            <w:tcW w:type="dxa" w:w="2600"/>
          </w:tcPr>
          <w:p>
            <w:r>
              <w:rPr>
                <w:b w:val="false"/>
                <w:bCs w:val="false"/>
                <w:sz w:val="20"/>
                <w:szCs w:val="20"/>
              </w:rPr>
              <w:t xml:space="preserve">Financial Integrity</w:t>
            </w:r>
          </w:p>
        </w:tc>
        <w:tc>
          <w:tcPr>
            <w:tcW w:type="dxa" w:w="7000"/>
          </w:tcPr>
          <w:p>
            <w:r>
              <w:rPr>
                <w:b w:val="false"/>
                <w:bCs w:val="false"/>
                <w:sz w:val="20"/>
                <w:szCs w:val="20"/>
              </w:rPr>
              <w:t xml:space="preserve">Idempotency keys on all money moving endpoints prevent duplicate charges from network retries or accidental double taps.</w:t>
            </w:r>
          </w:p>
        </w:tc>
      </w:tr>
      <w:tr>
        <w:tc>
          <w:tcPr>
            <w:tcW w:type="dxa" w:w="2600"/>
          </w:tcPr>
          <w:p>
            <w:r>
              <w:rPr>
                <w:b w:val="false"/>
                <w:bCs w:val="false"/>
                <w:sz w:val="20"/>
                <w:szCs w:val="20"/>
              </w:rPr>
              <w:t xml:space="preserve">Security</w:t>
            </w:r>
          </w:p>
        </w:tc>
        <w:tc>
          <w:tcPr>
            <w:tcW w:type="dxa" w:w="7000"/>
          </w:tcPr>
          <w:p>
            <w:r>
              <w:rPr>
                <w:b w:val="false"/>
                <w:bCs w:val="false"/>
                <w:sz w:val="20"/>
                <w:szCs w:val="20"/>
              </w:rPr>
              <w:t xml:space="preserve">Rate limiting on public endpoints, account lockout after repeated failed logins, and password reset through expiring signed tokens.</w:t>
            </w:r>
          </w:p>
        </w:tc>
      </w:tr>
    </w:tbl>
    <w:p>
      <w:pPr>
        <w:pStyle w:val="Heading1"/>
        <w:spacing w:after="200" w:before="400"/>
      </w:pPr>
      <w:r>
        <w:t xml:space="preserve">3. The S-Wallet: Primary Product Differentiator</w:t>
      </w:r>
    </w:p>
    <w:p>
      <w:pPr>
        <w:spacing w:after="160"/>
      </w:pPr>
      <w:r>
        <w:t xml:space="preserve">The S-Wallet is Kora's central selling point. It is a student pocket money wallet with layered, parent controlled spending guardrails, all of which are optional rather than compulsory. This is a deliberate design choice made to keep the platform inclusive of families who cannot, or do not wish to, opt into stricter financial controls.</w:t>
      </w:r>
    </w:p>
    <w:p>
      <w:pPr>
        <w:pStyle w:val="Heading2"/>
        <w:spacing w:after="120" w:before="260"/>
      </w:pPr>
      <w:r>
        <w:t xml:space="preserve">3.1 Guardrail Types</w:t>
      </w:r>
    </w:p>
    <w:p>
      <w:pPr>
        <w:pStyle w:val="ListParagraph"/>
        <w:numPr>
          <w:ilvl w:val="0"/>
          <w:numId w:val="1"/>
        </w:numPr>
        <w:spacing w:after="80"/>
      </w:pPr>
      <w:r>
        <w:t xml:space="preserve">Daily Spend Cap: the total a student can spend at the canteen in a single day, set by the school bursar.</w:t>
      </w:r>
    </w:p>
    <w:p>
      <w:pPr>
        <w:pStyle w:val="ListParagraph"/>
        <w:numPr>
          <w:ilvl w:val="0"/>
          <w:numId w:val="1"/>
        </w:numPr>
        <w:spacing w:after="80"/>
      </w:pPr>
      <w:r>
        <w:t xml:space="preserve">Minimum Purchase Amount, referred to internally as the price floor: blocks very small, frequent purchases below a set threshold.</w:t>
      </w:r>
    </w:p>
    <w:p>
      <w:pPr>
        <w:pStyle w:val="ListParagraph"/>
        <w:numPr>
          <w:ilvl w:val="0"/>
          <w:numId w:val="1"/>
        </w:numPr>
        <w:spacing w:after="80"/>
      </w:pPr>
      <w:r>
        <w:t xml:space="preserve">Maximum Purchase Amount, referred to internally as the price ceiling: caps the size of any single transaction.</w:t>
      </w:r>
    </w:p>
    <w:p>
      <w:pPr>
        <w:pStyle w:val="ListParagraph"/>
        <w:numPr>
          <w:ilvl w:val="0"/>
          <w:numId w:val="1"/>
        </w:numPr>
        <w:spacing w:after="80"/>
      </w:pPr>
      <w:r>
        <w:t xml:space="preserve">Low Balance Alerts: notifies a parent by email once per balance crossing, when the wallet drops to or below a threshold the parent has chosen.</w:t>
      </w:r>
    </w:p>
    <w:p>
      <w:pPr>
        <w:pStyle w:val="Heading2"/>
        <w:spacing w:after="120" w:before="260"/>
      </w:pPr>
      <w:r>
        <w:t xml:space="preserve">3.2 Planned: Automatic Top Up</w:t>
      </w:r>
    </w:p>
    <w:p>
      <w:pPr>
        <w:spacing w:after="160"/>
      </w:pPr>
      <w:r>
        <w:t xml:space="preserve">Automatic top up, where a wallet is recharged without a parent needing to take manual action, is scoped as a funded roadmap item. It depends on integration with a mobile money payment gateway capable of authorized recurring charges, which has not yet been built. The notification path above already gives parents a practical, working alternative.</w:t>
      </w:r>
    </w:p>
    <w:p>
      <w:pPr>
        <w:pStyle w:val="Heading1"/>
        <w:spacing w:after="200" w:before="400"/>
      </w:pPr>
      <w:r>
        <w:t xml:space="preserve">4. Accountability and Audit Trail</w:t>
      </w:r>
    </w:p>
    <w:p>
      <w:pPr>
        <w:spacing w:after="160"/>
      </w:pPr>
      <w:r>
        <w:t xml:space="preserve">Every canteen sale is tied to the specific point of sale device and the specific logged in staff member who processed it. This closes a common gap in less granular systems, where only a coarse daily or weekly total is recorded with no way to trace an individual sale back to a terminal or a cashier.</w:t>
      </w:r>
    </w:p>
    <w:p>
      <w:pPr>
        <w:spacing w:after="160"/>
      </w:pPr>
      <w:r>
        <w:t xml:space="preserve">Staff employment status, whether Active, Inactive, On Leave, or Terminated, is enforced at the session level rather than only in a database record. A staff member whose status changes to anything other than Active is logged out automatically on their very next request to the system, and any canteen terminal assigned to them is released so it can be reassigned to another cashier.</w:t>
      </w:r>
    </w:p>
    <w:p>
      <w:pPr>
        <w:pStyle w:val="Heading1"/>
        <w:spacing w:after="200" w:before="400"/>
      </w:pPr>
      <w:r>
        <w:t xml:space="preserve">5. Roles and Permissions</w:t>
      </w:r>
    </w:p>
    <w:p>
      <w:pPr>
        <w:spacing w:after="160"/>
      </w:pPr>
      <w:r>
        <w:t xml:space="preserve">Access throughout Kora is governed by a fixed set of roles, summarized below. Permissions are enforced at the controller level for every sensitive action, not only hidden in the interface.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0f3a70" w:val="clear"/>
          </w:tcPr>
          <w:p>
            <w:r>
              <w:rPr>
                <w:b/>
                <w:bCs/>
                <w:color w:val="FFFFFF"/>
                <w:sz w:val="20"/>
                <w:szCs w:val="20"/>
              </w:rPr>
              <w:t xml:space="preserve">Role</w:t>
            </w:r>
          </w:p>
        </w:tc>
        <w:tc>
          <w:tcPr>
            <w:tcW w:type="dxa" w:w="7000"/>
            <w:shd w:fill="0f3a70" w:val="clear"/>
          </w:tcPr>
          <w:p>
            <w:r>
              <w:rPr>
                <w:b/>
                <w:bCs/>
                <w:color w:val="FFFFFF"/>
                <w:sz w:val="20"/>
                <w:szCs w:val="20"/>
              </w:rPr>
              <w:t xml:space="preserve">Primary Responsibilities</w:t>
            </w:r>
          </w:p>
        </w:tc>
      </w:tr>
      <w:tr>
        <w:tc>
          <w:tcPr>
            <w:tcW w:type="dxa" w:w="2600"/>
          </w:tcPr>
          <w:p>
            <w:r>
              <w:rPr>
                <w:b w:val="false"/>
                <w:bCs w:val="false"/>
                <w:sz w:val="20"/>
                <w:szCs w:val="20"/>
              </w:rPr>
              <w:t xml:space="preserve">Super Admin</w:t>
            </w:r>
          </w:p>
        </w:tc>
        <w:tc>
          <w:tcPr>
            <w:tcW w:type="dxa" w:w="7000"/>
          </w:tcPr>
          <w:p>
            <w:r>
              <w:rPr>
                <w:b w:val="false"/>
                <w:bCs w:val="false"/>
                <w:sz w:val="20"/>
                <w:szCs w:val="20"/>
              </w:rPr>
              <w:t xml:space="preserve">Platform wide access across all schools. Manages school registry and cross school configuration.</w:t>
            </w:r>
          </w:p>
        </w:tc>
      </w:tr>
      <w:tr>
        <w:tc>
          <w:tcPr>
            <w:tcW w:type="dxa" w:w="2600"/>
          </w:tcPr>
          <w:p>
            <w:r>
              <w:rPr>
                <w:b w:val="false"/>
                <w:bCs w:val="false"/>
                <w:sz w:val="20"/>
                <w:szCs w:val="20"/>
              </w:rPr>
              <w:t xml:space="preserve">School Admin</w:t>
            </w:r>
          </w:p>
        </w:tc>
        <w:tc>
          <w:tcPr>
            <w:tcW w:type="dxa" w:w="7000"/>
          </w:tcPr>
          <w:p>
            <w:r>
              <w:rPr>
                <w:b w:val="false"/>
                <w:bCs w:val="false"/>
                <w:sz w:val="20"/>
                <w:szCs w:val="20"/>
              </w:rPr>
              <w:t xml:space="preserve">Full administrative access within a single school. Manages staff, students, and school settings.</w:t>
            </w:r>
          </w:p>
        </w:tc>
      </w:tr>
      <w:tr>
        <w:tc>
          <w:tcPr>
            <w:tcW w:type="dxa" w:w="2600"/>
          </w:tcPr>
          <w:p>
            <w:r>
              <w:rPr>
                <w:b w:val="false"/>
                <w:bCs w:val="false"/>
                <w:sz w:val="20"/>
                <w:szCs w:val="20"/>
              </w:rPr>
              <w:t xml:space="preserve">Bursar</w:t>
            </w:r>
          </w:p>
        </w:tc>
        <w:tc>
          <w:tcPr>
            <w:tcW w:type="dxa" w:w="7000"/>
          </w:tcPr>
          <w:p>
            <w:r>
              <w:rPr>
                <w:b w:val="false"/>
                <w:bCs w:val="false"/>
                <w:sz w:val="20"/>
                <w:szCs w:val="20"/>
              </w:rPr>
              <w:t xml:space="preserve">Tuition collection, wallet top ups, term rollovers, expense claim approval, and receipt management.</w:t>
            </w:r>
          </w:p>
        </w:tc>
      </w:tr>
      <w:tr>
        <w:tc>
          <w:tcPr>
            <w:tcW w:type="dxa" w:w="2600"/>
          </w:tcPr>
          <w:p>
            <w:r>
              <w:rPr>
                <w:b w:val="false"/>
                <w:bCs w:val="false"/>
                <w:sz w:val="20"/>
                <w:szCs w:val="20"/>
              </w:rPr>
              <w:t xml:space="preserve">Canteen Operator</w:t>
            </w:r>
          </w:p>
        </w:tc>
        <w:tc>
          <w:tcPr>
            <w:tcW w:type="dxa" w:w="7000"/>
          </w:tcPr>
          <w:p>
            <w:r>
              <w:rPr>
                <w:b w:val="false"/>
                <w:bCs w:val="false"/>
                <w:sz w:val="20"/>
                <w:szCs w:val="20"/>
              </w:rPr>
              <w:t xml:space="preserve">Processes canteen sales through a device assigned point of sale terminal.</w:t>
            </w:r>
          </w:p>
        </w:tc>
      </w:tr>
      <w:tr>
        <w:tc>
          <w:tcPr>
            <w:tcW w:type="dxa" w:w="2600"/>
          </w:tcPr>
          <w:p>
            <w:r>
              <w:rPr>
                <w:b w:val="false"/>
                <w:bCs w:val="false"/>
                <w:sz w:val="20"/>
                <w:szCs w:val="20"/>
              </w:rPr>
              <w:t xml:space="preserve">Teacher</w:t>
            </w:r>
          </w:p>
        </w:tc>
        <w:tc>
          <w:tcPr>
            <w:tcW w:type="dxa" w:w="7000"/>
          </w:tcPr>
          <w:p>
            <w:r>
              <w:rPr>
                <w:b w:val="false"/>
                <w:bCs w:val="false"/>
                <w:sz w:val="20"/>
                <w:szCs w:val="20"/>
              </w:rPr>
              <w:t xml:space="preserve">Submits academic marks for assigned classes and subjects.</w:t>
            </w:r>
          </w:p>
        </w:tc>
      </w:tr>
      <w:tr>
        <w:tc>
          <w:tcPr>
            <w:tcW w:type="dxa" w:w="2600"/>
          </w:tcPr>
          <w:p>
            <w:r>
              <w:rPr>
                <w:b w:val="false"/>
                <w:bCs w:val="false"/>
                <w:sz w:val="20"/>
                <w:szCs w:val="20"/>
              </w:rPr>
              <w:t xml:space="preserve">Director of Studies</w:t>
            </w:r>
          </w:p>
        </w:tc>
        <w:tc>
          <w:tcPr>
            <w:tcW w:type="dxa" w:w="7000"/>
          </w:tcPr>
          <w:p>
            <w:r>
              <w:rPr>
                <w:b w:val="false"/>
                <w:bCs w:val="false"/>
                <w:sz w:val="20"/>
                <w:szCs w:val="20"/>
              </w:rPr>
              <w:t xml:space="preserve">Reviews and seals submitted marks, and has read only access to term and financial history.</w:t>
            </w:r>
          </w:p>
        </w:tc>
      </w:tr>
    </w:tbl>
    <w:p>
      <w:pPr>
        <w:pStyle w:val="Heading1"/>
        <w:spacing w:after="200" w:before="400"/>
      </w:pPr>
      <w:r>
        <w:t xml:space="preserve">6. Term and Financial Lifecycle Management</w:t>
      </w:r>
    </w:p>
    <w:p>
      <w:pPr>
        <w:spacing w:after="160"/>
      </w:pPr>
      <w:r>
        <w:t xml:space="preserve">Academic term rollovers are logged as structured, timestamped events rather than silent balance overwrites. Each rollover records the term, the year, the base tuition fee applied, and the exact per student amount billed at the time.</w:t>
      </w:r>
    </w:p>
    <w:p>
      <w:pPr>
        <w:spacing w:after="160"/>
      </w:pPr>
      <w:r>
        <w:t xml:space="preserve">The single most recent rollover for a school can be safely reversed if it was started in error. Reversing it restores every affected student's tuition balance to its state immediately before that rollover ran. Once a newer term has started, the older rollover can no longer be reversed, which protects the integrity of balances that have moved for unrelated reasons since.</w:t>
      </w:r>
    </w:p>
    <w:p>
      <w:pPr>
        <w:spacing w:after="160"/>
      </w:pPr>
      <w:r>
        <w:t xml:space="preserve">A read only Term History view lets bursars, school administrators, and the Director of Studies see the current term at a glance, browse past terms, and open a filtered transaction list scoped to any single term's date range.</w:t>
      </w:r>
    </w:p>
    <w:p>
      <w:pPr>
        <w:pStyle w:val="Heading1"/>
        <w:spacing w:after="200" w:before="400"/>
      </w:pPr>
      <w:r>
        <w:t xml:space="preserve">7. Financial Integrity Safeguards</w:t>
      </w:r>
    </w:p>
    <w:p>
      <w:pPr>
        <w:pStyle w:val="ListParagraph"/>
        <w:numPr>
          <w:ilvl w:val="0"/>
          <w:numId w:val="1"/>
        </w:numPr>
        <w:spacing w:after="80"/>
      </w:pPr>
      <w:r>
        <w:t xml:space="preserve">Idempotency keys on canteen debits, sponsorship top ups, tuition payments, and expense claim approvals. A network retry, a page refresh, or an accidental double tap cannot create a duplicate charge.</w:t>
      </w:r>
    </w:p>
    <w:p>
      <w:pPr>
        <w:pStyle w:val="ListParagraph"/>
        <w:numPr>
          <w:ilvl w:val="0"/>
          <w:numId w:val="1"/>
        </w:numPr>
        <w:spacing w:after="80"/>
      </w:pPr>
      <w:r>
        <w:t xml:space="preserve">Rate limiting on public facing lookup and payment endpoints, keyed to prevent brute force abuse of student payment codes.</w:t>
      </w:r>
    </w:p>
    <w:p>
      <w:pPr>
        <w:pStyle w:val="ListParagraph"/>
        <w:numPr>
          <w:ilvl w:val="0"/>
          <w:numId w:val="1"/>
        </w:numPr>
        <w:spacing w:after="80"/>
      </w:pPr>
      <w:r>
        <w:t xml:space="preserve">Account lockout after repeated failed login attempts, paired with a self service password reset flow that uses expiring, single use tokens sent by email.</w:t>
      </w:r>
    </w:p>
    <w:p>
      <w:pPr>
        <w:pStyle w:val="ListParagraph"/>
        <w:numPr>
          <w:ilvl w:val="0"/>
          <w:numId w:val="1"/>
        </w:numPr>
        <w:spacing w:after="80"/>
      </w:pPr>
      <w:r>
        <w:t xml:space="preserve">Every financial action, from a canteen sale to a term rollover reversal, is attributed to the staff member who performed it and time stamped.</w:t>
      </w:r>
    </w:p>
    <w:p>
      <w:pPr>
        <w:pStyle w:val="Heading1"/>
        <w:spacing w:after="200" w:before="400"/>
      </w:pPr>
      <w:r>
        <w:t xml:space="preserve">8. Community Sponsorship</w:t>
      </w:r>
    </w:p>
    <w:p>
      <w:pPr>
        <w:spacing w:after="160"/>
      </w:pPr>
      <w:r>
        <w:t xml:space="preserve">Sponsorship is a privacy first feature that lets a parent opt in to allow their child's canteen wallet to receive contributions from other people. Once enabled, a private and effectively unguessable link is generated for that student. This link, never a public directory of students, can be shared with relatives, alumni, or well wishers, who can then contribute directly to the wallet, subject to the same per transaction and daily caps the school has configured.</w:t>
      </w:r>
    </w:p>
    <w:p>
      <w:pPr>
        <w:pStyle w:val="Heading1"/>
        <w:spacing w:after="200" w:before="400"/>
      </w:pPr>
      <w:r>
        <w:t xml:space="preserve">9. Technology Stack</w:t>
      </w:r>
    </w:p>
    <w:p>
      <w:pPr>
        <w:pStyle w:val="ListParagraph"/>
        <w:numPr>
          <w:ilvl w:val="0"/>
          <w:numId w:val="1"/>
        </w:numPr>
        <w:spacing w:after="80"/>
      </w:pPr>
      <w:r>
        <w:t xml:space="preserve">Backend: PHP 8, built on the Yii2 framework.</w:t>
      </w:r>
    </w:p>
    <w:p>
      <w:pPr>
        <w:pStyle w:val="ListParagraph"/>
        <w:numPr>
          <w:ilvl w:val="0"/>
          <w:numId w:val="1"/>
        </w:numPr>
        <w:spacing w:after="80"/>
      </w:pPr>
      <w:r>
        <w:t xml:space="preserve">Database: PostgreSQL.</w:t>
      </w:r>
    </w:p>
    <w:p>
      <w:pPr>
        <w:pStyle w:val="ListParagraph"/>
        <w:numPr>
          <w:ilvl w:val="0"/>
          <w:numId w:val="1"/>
        </w:numPr>
        <w:spacing w:after="80"/>
      </w:pPr>
      <w:r>
        <w:t xml:space="preserve">Frontend: Bootstrap 5 with vanilla JavaScript for interactive components.</w:t>
      </w:r>
    </w:p>
    <w:p>
      <w:pPr>
        <w:pStyle w:val="ListParagraph"/>
        <w:numPr>
          <w:ilvl w:val="0"/>
          <w:numId w:val="1"/>
        </w:numPr>
        <w:spacing w:after="80"/>
      </w:pPr>
      <w:r>
        <w:t xml:space="preserve">Email delivery: Yii Mailer over SMTP, used for password resets, low balance alerts, and staff onboarding.</w:t>
      </w:r>
    </w:p>
    <w:p>
      <w:pPr>
        <w:pStyle w:val="Heading1"/>
        <w:spacing w:after="200" w:before="400"/>
      </w:pPr>
      <w:r>
        <w:t xml:space="preserve">10. Roadmap</w:t>
      </w:r>
    </w:p>
    <w:p>
      <w:pPr>
        <w:pStyle w:val="ListParagraph"/>
        <w:numPr>
          <w:ilvl w:val="0"/>
          <w:numId w:val="1"/>
        </w:numPr>
        <w:spacing w:after="80"/>
      </w:pPr>
      <w:r>
        <w:t xml:space="preserve">Automated low balance top up through direct mobile money integration.</w:t>
      </w:r>
    </w:p>
    <w:p>
      <w:pPr>
        <w:pStyle w:val="ListParagraph"/>
        <w:numPr>
          <w:ilvl w:val="0"/>
          <w:numId w:val="1"/>
        </w:numPr>
        <w:spacing w:after="80"/>
      </w:pPr>
      <w:r>
        <w:t xml:space="preserve">A dedicated USSD shortcode, giving parents without smartphones direct access without relying on a shared aggregator menu.</w:t>
      </w:r>
    </w:p>
    <w:p>
      <w:pPr>
        <w:pStyle w:val="ListParagraph"/>
        <w:numPr>
          <w:ilvl w:val="0"/>
          <w:numId w:val="1"/>
        </w:numPr>
        <w:spacing w:after="80"/>
      </w:pPr>
      <w:r>
        <w:t xml:space="preserve">A multi school chain or franchise dashboard for organizations running several campuses.</w:t>
      </w:r>
    </w:p>
    <w:p>
      <w:pPr>
        <w:pStyle w:val="ListParagraph"/>
        <w:numPr>
          <w:ilvl w:val="0"/>
          <w:numId w:val="1"/>
        </w:numPr>
        <w:spacing w:after="80"/>
      </w:pPr>
      <w:r>
        <w:t xml:space="preserve">An offline first canteen point of sale mode for low connectivity deployments.</w:t>
      </w:r>
    </w:p>
    <w:p>
      <w:pPr>
        <w:spacing w:before="400"/>
      </w:pPr>
      <w:r>
        <w:rPr>
          <w:i/>
          <w:iCs/>
          <w:color w:val="6b7280"/>
          <w:sz w:val="18"/>
          <w:szCs w:val="18"/>
        </w:rPr>
        <w:t xml:space="preserve">
Prepared by the Kora development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2026-09-03T06:04:30.666Z</dcterms:created>
  <dcterms:modified xsi:type="dcterms:W3CDTF">2026-09-03T06:04:30.666Z</dcterms:modified>
</cp:coreProperties>
</file>

<file path=docProps/custom.xml><?xml version="1.0" encoding="utf-8"?>
<Properties xmlns="http://schemas.openxmlformats.org/officeDocument/2006/custom-properties" xmlns:vt="http://schemas.openxmlformats.org/officeDocument/2006/docPropsVTypes"/>
</file>