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2B4C7E"/>
          <w:sz w:val="56"/>
          <w:szCs w:val="56"/>
        </w:rPr>
        <w:t xml:space="preserve">ADHD at Work</w:t>
      </w:r>
    </w:p>
    <w:p>
      <w:pPr>
        <w:spacing w:after="120"/>
        <w:jc w:val="center"/>
      </w:pPr>
      <w:r>
        <w:rPr>
          <w:rFonts w:ascii="Arial" w:cs="Arial" w:eastAsia="Arial" w:hAnsi="Arial"/>
          <w:color w:val="5B7FA5"/>
          <w:sz w:val="36"/>
          <w:szCs w:val="36"/>
        </w:rPr>
        <w:t xml:space="preserve">What the Research Tells Us</w:t>
      </w:r>
    </w:p>
    <w:p>
      <w:pPr>
        <w:spacing w:after="600"/>
        <w:jc w:val="center"/>
      </w:pPr>
      <w:r>
        <w:rPr>
          <w:rFonts w:ascii="Arial" w:cs="Arial" w:eastAsia="Arial" w:hAnsi="Arial"/>
          <w:color w:val="999999"/>
          <w:sz w:val="22"/>
          <w:szCs w:val="22"/>
        </w:rPr>
        <w:t xml:space="preserve">A structured map of problems, mechanisms, and design constraints</w:t>
      </w:r>
    </w:p>
    <w:p>
      <w:pPr>
        <w:spacing w:after="600"/>
      </w:pPr>
    </w:p>
    <w:p>
      <w:pPr>
        <w:spacing w:after="80"/>
        <w:jc w:val="center"/>
      </w:pPr>
      <w:r>
        <w:rPr>
          <w:rFonts w:ascii="Arial" w:cs="Arial" w:eastAsia="Arial" w:hAnsi="Arial"/>
          <w:color w:val="999999"/>
          <w:sz w:val="20"/>
          <w:szCs w:val="20"/>
        </w:rPr>
        <w:t xml:space="preserve">Prepared for team decision-making</w:t>
      </w:r>
    </w:p>
    <w:p>
      <w:pPr>
        <w:spacing w:after="80"/>
        <w:jc w:val="center"/>
      </w:pPr>
      <w:r>
        <w:rPr>
          <w:rFonts w:ascii="Arial" w:cs="Arial" w:eastAsia="Arial" w:hAnsi="Arial"/>
          <w:color w:val="999999"/>
          <w:sz w:val="20"/>
          <w:szCs w:val="20"/>
        </w:rPr>
        <w:t xml:space="preserve">February 2026</w:t>
      </w:r>
    </w:p>
    <w:p>
      <w:r>
        <w:br w:type="page"/>
      </w:r>
    </w:p>
    <w:p>
      <w:pPr>
        <w:pStyle w:val="Heading1"/>
        <w:spacing w:before="360" w:after="200"/>
      </w:pPr>
      <w:r>
        <w:rPr>
          <w:rFonts w:ascii="Arial" w:cs="Arial" w:eastAsia="Arial" w:hAnsi="Arial"/>
          <w:b/>
          <w:bCs/>
          <w:color w:val="2B4C7E"/>
          <w:sz w:val="32"/>
          <w:szCs w:val="32"/>
        </w:rPr>
        <w:t xml:space="preserve">1. What This Is and What It Isn't</w:t>
      </w:r>
    </w:p>
    <w:p>
      <w:pPr>
        <w:spacing w:after="160" w:line="300"/>
      </w:pPr>
      <w:r>
        <w:rPr>
          <w:rFonts w:ascii="Arial" w:cs="Arial" w:eastAsia="Arial" w:hAnsi="Arial"/>
          <w:color w:val="333333"/>
          <w:sz w:val="21"/>
          <w:szCs w:val="21"/>
        </w:rPr>
        <w:t xml:space="preserve">This document distils two completed research projects into a single, structured reference. It describes the landscape of ADHD workplace problems, the mechanisms that cause them, the structural challenges any product must navigate, and the engagement models available to address them.</w:t>
      </w:r>
    </w:p>
    <w:p>
      <w:pPr>
        <w:spacing w:after="160" w:line="300"/>
      </w:pPr>
      <w:r>
        <w:rPr>
          <w:rFonts w:ascii="Arial" w:cs="Arial" w:eastAsia="Arial" w:hAnsi="Arial"/>
          <w:b/>
          <w:bCs/>
          <w:color w:val="333333"/>
          <w:sz w:val="21"/>
          <w:szCs w:val="21"/>
        </w:rPr>
        <w:t xml:space="preserve">What it is: </w:t>
      </w:r>
      <w:r>
        <w:rPr>
          <w:rFonts w:ascii="Arial" w:cs="Arial" w:eastAsia="Arial" w:hAnsi="Arial"/>
          <w:color w:val="333333"/>
          <w:sz w:val="21"/>
          <w:szCs w:val="21"/>
        </w:rPr>
        <w:t xml:space="preserve">A shared map of everything we know, how it connects, and what constrains any product we build. The structured data behind this brief lives in ten machine-readable files (the system of record) that Liv can use as the source for an interactive visualisation.</w:t>
      </w:r>
    </w:p>
    <w:p>
      <w:pPr>
        <w:spacing w:after="160" w:line="300"/>
      </w:pPr>
      <w:r>
        <w:rPr>
          <w:rFonts w:ascii="Arial" w:cs="Arial" w:eastAsia="Arial" w:hAnsi="Arial"/>
          <w:b/>
          <w:bCs/>
          <w:color w:val="333333"/>
          <w:sz w:val="21"/>
          <w:szCs w:val="21"/>
        </w:rPr>
        <w:t xml:space="preserve">What it isn't: </w:t>
      </w:r>
      <w:r>
        <w:rPr>
          <w:rFonts w:ascii="Arial" w:cs="Arial" w:eastAsia="Arial" w:hAnsi="Arial"/>
          <w:color w:val="333333"/>
          <w:sz w:val="21"/>
          <w:szCs w:val="21"/>
        </w:rPr>
        <w:t xml:space="preserve">A product recommendation, a roadmap, or a specification. This document contains zero suggestions about what to build. Where engagement models or capabilities are discussed, they describe the shape of the option space — not a preferred direction.</w:t>
      </w:r>
    </w:p>
    <w:p>
      <w:pPr>
        <w:spacing w:before="200" w:after="120"/>
      </w:pPr>
      <w:r>
        <w:rPr>
          <w:rFonts w:ascii="Arial" w:cs="Arial" w:eastAsia="Arial" w:hAnsi="Arial"/>
          <w:b/>
          <w:bCs/>
          <w:color w:val="1A1A2E"/>
          <w:sz w:val="22"/>
          <w:szCs w:val="22"/>
        </w:rPr>
        <w:t xml:space="preserve">How to use this</w:t>
      </w:r>
    </w:p>
    <w:p>
      <w:pPr>
        <w:pStyle w:val="ListParagraph"/>
        <w:numPr>
          <w:ilvl w:val="0"/>
          <w:numId w:val="2"/>
        </w:numPr>
        <w:spacing w:after="80" w:line="300"/>
      </w:pPr>
      <w:r>
        <w:rPr>
          <w:rFonts w:ascii="Arial" w:cs="Arial" w:eastAsia="Arial" w:hAnsi="Arial"/>
          <w:b/>
          <w:bCs/>
          <w:color w:val="333333"/>
          <w:sz w:val="21"/>
          <w:szCs w:val="21"/>
        </w:rPr>
        <w:t xml:space="preserve">For discussion: </w:t>
      </w:r>
      <w:r>
        <w:rPr>
          <w:rFonts w:ascii="Arial" w:cs="Arial" w:eastAsia="Arial" w:hAnsi="Arial"/>
          <w:color w:val="333333"/>
          <w:sz w:val="21"/>
          <w:szCs w:val="21"/>
        </w:rPr>
        <w:t xml:space="preserve">The narrative threads in Section 4 are starting points for conversation, not conclusions.</w:t>
      </w:r>
    </w:p>
    <w:p>
      <w:pPr>
        <w:pStyle w:val="ListParagraph"/>
        <w:numPr>
          <w:ilvl w:val="0"/>
          <w:numId w:val="2"/>
        </w:numPr>
        <w:spacing w:after="80" w:line="300"/>
      </w:pPr>
      <w:r>
        <w:rPr>
          <w:rFonts w:ascii="Arial" w:cs="Arial" w:eastAsia="Arial" w:hAnsi="Arial"/>
          <w:b/>
          <w:bCs/>
          <w:color w:val="333333"/>
          <w:sz w:val="21"/>
          <w:szCs w:val="21"/>
        </w:rPr>
        <w:t xml:space="preserve">For the expert session: </w:t>
      </w:r>
      <w:r>
        <w:rPr>
          <w:rFonts w:ascii="Arial" w:cs="Arial" w:eastAsia="Arial" w:hAnsi="Arial"/>
          <w:color w:val="333333"/>
          <w:sz w:val="21"/>
          <w:szCs w:val="21"/>
        </w:rPr>
        <w:t xml:space="preserve">The system of record is input for the creative and technology experts. They bring solutions; this provides the problem structure they’re solving against.</w:t>
      </w:r>
    </w:p>
    <w:p>
      <w:pPr>
        <w:pStyle w:val="ListParagraph"/>
        <w:numPr>
          <w:ilvl w:val="0"/>
          <w:numId w:val="2"/>
        </w:numPr>
        <w:spacing w:after="80" w:line="300"/>
      </w:pPr>
      <w:r>
        <w:rPr>
          <w:rFonts w:ascii="Arial" w:cs="Arial" w:eastAsia="Arial" w:hAnsi="Arial"/>
          <w:b/>
          <w:bCs/>
          <w:color w:val="333333"/>
          <w:sz w:val="21"/>
          <w:szCs w:val="21"/>
        </w:rPr>
        <w:t xml:space="preserve">For the visualisation: </w:t>
      </w:r>
      <w:r>
        <w:rPr>
          <w:rFonts w:ascii="Arial" w:cs="Arial" w:eastAsia="Arial" w:hAnsi="Arial"/>
          <w:color w:val="333333"/>
          <w:sz w:val="21"/>
          <w:szCs w:val="21"/>
        </w:rPr>
        <w:t xml:space="preserve">The ten YAML files are the data source for any interactive view.</w:t>
      </w:r>
    </w:p>
    <w:p>
      <w:r>
        <w:br w:type="page"/>
      </w:r>
    </w:p>
    <w:p>
      <w:pPr>
        <w:pStyle w:val="Heading1"/>
        <w:spacing w:before="360" w:after="200"/>
      </w:pPr>
      <w:r>
        <w:rPr>
          <w:rFonts w:ascii="Arial" w:cs="Arial" w:eastAsia="Arial" w:hAnsi="Arial"/>
          <w:b/>
          <w:bCs/>
          <w:color w:val="2B4C7E"/>
          <w:sz w:val="32"/>
          <w:szCs w:val="32"/>
        </w:rPr>
        <w:t xml:space="preserve">2. The Map: What We Know and How It Connects</w:t>
      </w:r>
    </w:p>
    <w:p>
      <w:pPr>
        <w:spacing w:after="160" w:line="300"/>
      </w:pPr>
      <w:r>
        <w:rPr>
          <w:rFonts w:ascii="Arial" w:cs="Arial" w:eastAsia="Arial" w:hAnsi="Arial"/>
          <w:color w:val="333333"/>
          <w:sz w:val="21"/>
          <w:szCs w:val="21"/>
        </w:rPr>
        <w:t xml:space="preserve">The system of record contains seven types of entity. Each answers a different question. Together they form a connected knowledge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DDDDD" w:sz="1"/>
              <w:left w:val="single" w:color="DDDDDD" w:sz="1"/>
              <w:bottom w:val="single" w:color="DDDDDD" w:sz="1"/>
              <w:right w:val="single" w:color="DDDDDD" w:sz="1"/>
            </w:tcBorders>
            <w:shd w:fill="2B4C7E" w:val="clear"/>
            <w:tcMar>
              <w:top w:type="dxa" w:w="60"/>
              <w:left w:type="dxa" w:w="100"/>
              <w:bottom w:type="dxa" w:w="60"/>
              <w:right w:type="dxa" w:w="100"/>
            </w:tcMar>
            <w:vAlign w:val="top"/>
          </w:tcPr>
          <w:p>
            <w:pPr>
              <w:spacing w:after="0"/>
            </w:pPr>
            <w:r>
              <w:rPr>
                <w:rFonts w:ascii="Arial" w:cs="Arial" w:eastAsia="Arial" w:hAnsi="Arial"/>
                <w:color w:val="FFFFFF"/>
                <w:sz w:val="20"/>
                <w:szCs w:val="20"/>
              </w:rPr>
              <w:t xml:space="preserve">Entity</w:t>
            </w:r>
          </w:p>
        </w:tc>
        <w:tc>
          <w:tcPr>
            <w:tcW w:type="dxa" w:w="2200"/>
            <w:tcBorders>
              <w:top w:val="single" w:color="DDDDDD" w:sz="1"/>
              <w:left w:val="single" w:color="DDDDDD" w:sz="1"/>
              <w:bottom w:val="single" w:color="DDDDDD" w:sz="1"/>
              <w:right w:val="single" w:color="DDDDDD" w:sz="1"/>
            </w:tcBorders>
            <w:shd w:fill="2B4C7E" w:val="clear"/>
            <w:tcMar>
              <w:top w:type="dxa" w:w="60"/>
              <w:left w:type="dxa" w:w="100"/>
              <w:bottom w:type="dxa" w:w="60"/>
              <w:right w:type="dxa" w:w="100"/>
            </w:tcMar>
            <w:vAlign w:val="top"/>
          </w:tcPr>
          <w:p>
            <w:pPr>
              <w:spacing w:after="0"/>
            </w:pPr>
            <w:r>
              <w:rPr>
                <w:rFonts w:ascii="Arial" w:cs="Arial" w:eastAsia="Arial" w:hAnsi="Arial"/>
                <w:color w:val="FFFFFF"/>
                <w:sz w:val="20"/>
                <w:szCs w:val="20"/>
              </w:rPr>
              <w:t xml:space="preserve">Question It Answers</w:t>
            </w:r>
          </w:p>
        </w:tc>
        <w:tc>
          <w:tcPr>
            <w:tcW w:type="dxa" w:w="4960"/>
            <w:tcBorders>
              <w:top w:val="single" w:color="DDDDDD" w:sz="1"/>
              <w:left w:val="single" w:color="DDDDDD" w:sz="1"/>
              <w:bottom w:val="single" w:color="DDDDDD" w:sz="1"/>
              <w:right w:val="single" w:color="DDDDDD" w:sz="1"/>
            </w:tcBorders>
            <w:shd w:fill="2B4C7E" w:val="clear"/>
            <w:tcMar>
              <w:top w:type="dxa" w:w="60"/>
              <w:left w:type="dxa" w:w="100"/>
              <w:bottom w:type="dxa" w:w="60"/>
              <w:right w:type="dxa" w:w="100"/>
            </w:tcMar>
            <w:vAlign w:val="top"/>
          </w:tcPr>
          <w:p>
            <w:pPr>
              <w:spacing w:after="0"/>
            </w:pPr>
            <w:r>
              <w:rPr>
                <w:rFonts w:ascii="Arial" w:cs="Arial" w:eastAsia="Arial" w:hAnsi="Arial"/>
                <w:color w:val="FFFFFF"/>
                <w:sz w:val="20"/>
                <w:szCs w:val="20"/>
              </w:rPr>
              <w:t xml:space="preserve">Examples</w:t>
            </w:r>
          </w:p>
        </w:tc>
      </w:tr>
      <w:tr>
        <w:tc>
          <w:tcPr>
            <w:tcW w:type="dxa" w:w="22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Problems (13)</w:t>
            </w:r>
          </w:p>
        </w:tc>
        <w:tc>
          <w:tcPr>
            <w:tcW w:type="dxa" w:w="22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What goes wrong at work?</w:t>
            </w:r>
          </w:p>
        </w:tc>
        <w:tc>
          <w:tcPr>
            <w:tcW w:type="dxa" w:w="496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Task initiation failure, meeting memory failure, chronic lateness, etc.</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Mechanisms (6)</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Why does it go wrong?</w:t>
            </w:r>
          </w:p>
        </w:tc>
        <w:tc>
          <w:tcPr>
            <w:tcW w:type="dxa" w:w="4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Time perception distortion, reward processing dysfunction, encoding deficit, etc.</w:t>
            </w:r>
          </w:p>
        </w:tc>
      </w:tr>
      <w:tr>
        <w:tc>
          <w:tcPr>
            <w:tcW w:type="dxa" w:w="22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Clusters (3)</w:t>
            </w:r>
          </w:p>
        </w:tc>
        <w:tc>
          <w:tcPr>
            <w:tcW w:type="dxa" w:w="22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What goes wrong together?</w:t>
            </w:r>
          </w:p>
        </w:tc>
        <w:tc>
          <w:tcPr>
            <w:tcW w:type="dxa" w:w="496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Time-Perception Cascade, Initiation-Execution Bottleneck, Attention-Quality Chain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Meta-Challenges (5)</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Why is it hard to fix?</w:t>
            </w:r>
          </w:p>
        </w:tc>
        <w:tc>
          <w:tcPr>
            <w:tcW w:type="dxa" w:w="4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Novelty decay, circular dependency, shame-avoidance spiral, disclosure risk, notification desensitisation</w:t>
            </w:r>
          </w:p>
        </w:tc>
      </w:tr>
      <w:tr>
        <w:tc>
          <w:tcPr>
            <w:tcW w:type="dxa" w:w="22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Engagement Models (8)</w:t>
            </w:r>
          </w:p>
        </w:tc>
        <w:tc>
          <w:tcPr>
            <w:tcW w:type="dxa" w:w="22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How could a product interact with users?</w:t>
            </w:r>
          </w:p>
        </w:tc>
        <w:tc>
          <w:tcPr>
            <w:tcW w:type="dxa" w:w="496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Ambient monitoring, passive capture, intelligent reordering, periodic injection, etc.</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Foundations (7)</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What’s needed regardless of direction?</w:t>
            </w:r>
          </w:p>
        </w:tc>
        <w:tc>
          <w:tcPr>
            <w:tcW w:type="dxa" w:w="4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Calendar integration, variability engine, non-shaming tone framework, knowledge graph, etc.</w:t>
            </w:r>
          </w:p>
        </w:tc>
      </w:tr>
      <w:tr>
        <w:tc>
          <w:tcPr>
            <w:tcW w:type="dxa" w:w="22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Implications (13)</w:t>
            </w:r>
          </w:p>
        </w:tc>
        <w:tc>
          <w:tcPr>
            <w:tcW w:type="dxa" w:w="22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So what?</w:t>
            </w:r>
          </w:p>
        </w:tc>
        <w:tc>
          <w:tcPr>
            <w:tcW w:type="dxa" w:w="496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Structural constraints, paradoxes, and decision-space boundaries that any product must account for</w:t>
            </w:r>
          </w:p>
        </w:tc>
      </w:tr>
    </w:tbl>
    <w:p>
      <w:pPr>
        <w:spacing w:after="200"/>
      </w:pPr>
    </w:p>
    <w:p>
      <w:pPr>
        <w:pStyle w:val="Heading2"/>
        <w:spacing w:before="280" w:after="160"/>
      </w:pPr>
      <w:r>
        <w:rPr>
          <w:rFonts w:ascii="Arial" w:cs="Arial" w:eastAsia="Arial" w:hAnsi="Arial"/>
          <w:b/>
          <w:bCs/>
          <w:color w:val="5B7FA5"/>
          <w:sz w:val="26"/>
          <w:szCs w:val="26"/>
        </w:rPr>
        <w:t xml:space="preserve">Clusters vs. Mechanisms: The Key Distinction</w:t>
      </w:r>
    </w:p>
    <w:p>
      <w:pPr>
        <w:spacing w:after="160" w:line="300"/>
      </w:pPr>
      <w:r>
        <w:rPr>
          <w:rFonts w:ascii="Arial" w:cs="Arial" w:eastAsia="Arial" w:hAnsi="Arial"/>
          <w:color w:val="333333"/>
          <w:sz w:val="21"/>
          <w:szCs w:val="21"/>
        </w:rPr>
        <w:t xml:space="preserve">Clusters describe what shows up together. Mechanisms explain why. Both exist in the system because they serve different purposes.</w:t>
      </w:r>
    </w:p>
    <w:p>
      <w:pPr>
        <w:spacing w:after="160" w:line="300"/>
      </w:pPr>
      <w:r>
        <w:rPr>
          <w:rFonts w:ascii="Arial" w:cs="Arial" w:eastAsia="Arial" w:hAnsi="Arial"/>
          <w:b/>
          <w:bCs/>
          <w:color w:val="333333"/>
          <w:sz w:val="21"/>
          <w:szCs w:val="21"/>
        </w:rPr>
        <w:t xml:space="preserve">Clusters </w:t>
      </w:r>
      <w:r>
        <w:rPr>
          <w:rFonts w:ascii="Arial" w:cs="Arial" w:eastAsia="Arial" w:hAnsi="Arial"/>
          <w:color w:val="333333"/>
          <w:sz w:val="21"/>
          <w:szCs w:val="21"/>
        </w:rPr>
        <w:t xml:space="preserve">are observed co-occurrence patterns derived from clinical data and practitioner reports. Three problems in Cluster A (time blindness, deadline misses, chronic lateness) reliably appear together in the same individuals. The cluster tells you: if you address time blindness, the downstream problems may improve.</w:t>
      </w:r>
    </w:p>
    <w:p>
      <w:pPr>
        <w:spacing w:after="160" w:line="300"/>
      </w:pPr>
      <w:r>
        <w:rPr>
          <w:rFonts w:ascii="Arial" w:cs="Arial" w:eastAsia="Arial" w:hAnsi="Arial"/>
          <w:b/>
          <w:bCs/>
          <w:color w:val="333333"/>
          <w:sz w:val="21"/>
          <w:szCs w:val="21"/>
        </w:rPr>
        <w:t xml:space="preserve">Mechanisms </w:t>
      </w:r>
      <w:r>
        <w:rPr>
          <w:rFonts w:ascii="Arial" w:cs="Arial" w:eastAsia="Arial" w:hAnsi="Arial"/>
          <w:color w:val="333333"/>
          <w:sz w:val="21"/>
          <w:szCs w:val="21"/>
        </w:rPr>
        <w:t xml:space="preserve">are the underlying neurological processes that explain the co-occurrence. Time Perception Distortion (MECH01) explains why time blindness, deadlines, and lateness cluster together. But the mechanism layer also reveals things the clusters hide:</w:t>
      </w:r>
    </w:p>
    <w:p>
      <w:pPr>
        <w:pStyle w:val="ListParagraph"/>
        <w:numPr>
          <w:ilvl w:val="0"/>
          <w:numId w:val="2"/>
        </w:numPr>
        <w:spacing w:after="80" w:line="300"/>
      </w:pPr>
      <w:r>
        <w:rPr>
          <w:rFonts w:ascii="Arial" w:cs="Arial" w:eastAsia="Arial" w:hAnsi="Arial"/>
          <w:color w:val="333333"/>
          <w:sz w:val="21"/>
          <w:szCs w:val="21"/>
        </w:rPr>
        <w:t xml:space="preserve">Long-term project neglect appears in </w:t>
      </w:r>
      <w:r>
        <w:rPr>
          <w:rFonts w:ascii="Arial" w:cs="Arial" w:eastAsia="Arial" w:hAnsi="Arial"/>
          <w:i/>
          <w:iCs/>
          <w:color w:val="999999"/>
          <w:sz w:val="21"/>
          <w:szCs w:val="21"/>
        </w:rPr>
        <w:t xml:space="preserve">both</w:t>
      </w:r>
      <w:r>
        <w:rPr>
          <w:rFonts w:ascii="Arial" w:cs="Arial" w:eastAsia="Arial" w:hAnsi="Arial"/>
          <w:color w:val="333333"/>
          <w:sz w:val="21"/>
          <w:szCs w:val="21"/>
        </w:rPr>
        <w:t xml:space="preserve"> Cluster A and Cluster B. The mechanism layer shows why: it’s driven by two separate processes (delay discounting from MECH01, and activation energy from MECH02). Addressing one cluster alone won’t fully resolve it.</w:t>
      </w:r>
    </w:p>
    <w:p>
      <w:pPr>
        <w:pStyle w:val="ListParagraph"/>
        <w:numPr>
          <w:ilvl w:val="0"/>
          <w:numId w:val="2"/>
        </w:numPr>
        <w:spacing w:after="80" w:line="300"/>
      </w:pPr>
      <w:r>
        <w:rPr>
          <w:rFonts w:ascii="Arial" w:cs="Arial" w:eastAsia="Arial" w:hAnsi="Arial"/>
          <w:color w:val="333333"/>
          <w:sz w:val="21"/>
          <w:szCs w:val="21"/>
        </w:rPr>
        <w:t xml:space="preserve">Meeting memory failure looks like a single problem. The mechanism layer reveals it involves two distinct failures: the information was never encoded in the first place (MECH04), and the intention to follow up was forgotten (MECH03). These require different interventions.</w:t>
      </w:r>
    </w:p>
    <w:p>
      <w:pPr>
        <w:pStyle w:val="Heading2"/>
        <w:spacing w:before="280" w:after="160"/>
      </w:pPr>
      <w:r>
        <w:rPr>
          <w:rFonts w:ascii="Arial" w:cs="Arial" w:eastAsia="Arial" w:hAnsi="Arial"/>
          <w:b/>
          <w:bCs/>
          <w:color w:val="5B7FA5"/>
          <w:sz w:val="26"/>
          <w:szCs w:val="26"/>
        </w:rPr>
        <w:t xml:space="preserve">The Six Mechanisms</w:t>
      </w:r>
    </w:p>
    <w:p>
      <w:pPr>
        <w:spacing w:after="160" w:line="300"/>
      </w:pPr>
      <w:r>
        <w:rPr>
          <w:rFonts w:ascii="Arial" w:cs="Arial" w:eastAsia="Arial" w:hAnsi="Arial"/>
          <w:color w:val="333333"/>
          <w:sz w:val="21"/>
          <w:szCs w:val="21"/>
        </w:rPr>
        <w:t xml:space="preserve">In the system of record, each of the thirteen documented problems traces to at least one of these six proposed neurological processes. Whether these six are complete or correctly bounded is discussed in 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560"/>
        <w:gridCol w:w="1800"/>
      </w:tblGrid>
      <w:tr>
        <w:tc>
          <w:tcPr>
            <w:tcW w:type="dxa" w:w="1800"/>
            <w:tcBorders>
              <w:top w:val="single" w:color="DDDDDD" w:sz="1"/>
              <w:left w:val="single" w:color="DDDDDD" w:sz="1"/>
              <w:bottom w:val="single" w:color="DDDDDD" w:sz="1"/>
              <w:right w:val="single" w:color="DDDDDD" w:sz="1"/>
            </w:tcBorders>
            <w:shd w:fill="2B4C7E" w:val="clear"/>
            <w:tcMar>
              <w:top w:type="dxa" w:w="60"/>
              <w:left w:type="dxa" w:w="100"/>
              <w:bottom w:type="dxa" w:w="60"/>
              <w:right w:type="dxa" w:w="100"/>
            </w:tcMar>
            <w:vAlign w:val="top"/>
          </w:tcPr>
          <w:p>
            <w:pPr>
              <w:spacing w:after="0"/>
            </w:pPr>
            <w:r>
              <w:rPr>
                <w:rFonts w:ascii="Arial" w:cs="Arial" w:eastAsia="Arial" w:hAnsi="Arial"/>
                <w:color w:val="FFFFFF"/>
                <w:sz w:val="20"/>
                <w:szCs w:val="20"/>
              </w:rPr>
              <w:t xml:space="preserve">Mechanism</w:t>
            </w:r>
          </w:p>
        </w:tc>
        <w:tc>
          <w:tcPr>
            <w:tcW w:type="dxa" w:w="3200"/>
            <w:tcBorders>
              <w:top w:val="single" w:color="DDDDDD" w:sz="1"/>
              <w:left w:val="single" w:color="DDDDDD" w:sz="1"/>
              <w:bottom w:val="single" w:color="DDDDDD" w:sz="1"/>
              <w:right w:val="single" w:color="DDDDDD" w:sz="1"/>
            </w:tcBorders>
            <w:shd w:fill="2B4C7E" w:val="clear"/>
            <w:tcMar>
              <w:top w:type="dxa" w:w="60"/>
              <w:left w:type="dxa" w:w="100"/>
              <w:bottom w:type="dxa" w:w="60"/>
              <w:right w:type="dxa" w:w="100"/>
            </w:tcMar>
            <w:vAlign w:val="top"/>
          </w:tcPr>
          <w:p>
            <w:pPr>
              <w:spacing w:after="0"/>
            </w:pPr>
            <w:r>
              <w:rPr>
                <w:rFonts w:ascii="Arial" w:cs="Arial" w:eastAsia="Arial" w:hAnsi="Arial"/>
                <w:color w:val="FFFFFF"/>
                <w:sz w:val="20"/>
                <w:szCs w:val="20"/>
              </w:rPr>
              <w:t xml:space="preserve">What Happens</w:t>
            </w:r>
          </w:p>
        </w:tc>
        <w:tc>
          <w:tcPr>
            <w:tcW w:type="dxa" w:w="2560"/>
            <w:tcBorders>
              <w:top w:val="single" w:color="DDDDDD" w:sz="1"/>
              <w:left w:val="single" w:color="DDDDDD" w:sz="1"/>
              <w:bottom w:val="single" w:color="DDDDDD" w:sz="1"/>
              <w:right w:val="single" w:color="DDDDDD" w:sz="1"/>
            </w:tcBorders>
            <w:shd w:fill="2B4C7E" w:val="clear"/>
            <w:tcMar>
              <w:top w:type="dxa" w:w="60"/>
              <w:left w:type="dxa" w:w="100"/>
              <w:bottom w:type="dxa" w:w="60"/>
              <w:right w:type="dxa" w:w="100"/>
            </w:tcMar>
            <w:vAlign w:val="top"/>
          </w:tcPr>
          <w:p>
            <w:pPr>
              <w:spacing w:after="0"/>
            </w:pPr>
            <w:r>
              <w:rPr>
                <w:rFonts w:ascii="Arial" w:cs="Arial" w:eastAsia="Arial" w:hAnsi="Arial"/>
                <w:color w:val="FFFFFF"/>
                <w:sz w:val="20"/>
                <w:szCs w:val="20"/>
              </w:rPr>
              <w:t xml:space="preserve">Problems Affected</w:t>
            </w:r>
          </w:p>
        </w:tc>
        <w:tc>
          <w:tcPr>
            <w:tcW w:type="dxa" w:w="1800"/>
            <w:tcBorders>
              <w:top w:val="single" w:color="DDDDDD" w:sz="1"/>
              <w:left w:val="single" w:color="DDDDDD" w:sz="1"/>
              <w:bottom w:val="single" w:color="DDDDDD" w:sz="1"/>
              <w:right w:val="single" w:color="DDDDDD" w:sz="1"/>
            </w:tcBorders>
            <w:shd w:fill="2B4C7E" w:val="clear"/>
            <w:tcMar>
              <w:top w:type="dxa" w:w="60"/>
              <w:left w:type="dxa" w:w="100"/>
              <w:bottom w:type="dxa" w:w="60"/>
              <w:right w:type="dxa" w:w="100"/>
            </w:tcMar>
            <w:vAlign w:val="top"/>
          </w:tcPr>
          <w:p>
            <w:pPr>
              <w:spacing w:after="0"/>
            </w:pPr>
            <w:r>
              <w:rPr>
                <w:rFonts w:ascii="Arial" w:cs="Arial" w:eastAsia="Arial" w:hAnsi="Arial"/>
                <w:color w:val="FFFFFF"/>
                <w:sz w:val="20"/>
                <w:szCs w:val="20"/>
              </w:rPr>
              <w:t xml:space="preserve">Day-to-Day Variability</w:t>
            </w:r>
          </w:p>
        </w:tc>
      </w:tr>
      <w:tr>
        <w:tc>
          <w:tcPr>
            <w:tcW w:type="dxa" w:w="18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Time Perception Distortion</w:t>
            </w:r>
          </w:p>
        </w:tc>
        <w:tc>
          <w:tcPr>
            <w:tcW w:type="dxa" w:w="32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The internal clock runs differently. An hour feels like ten minutes. A deadline three days away feels as distant as three months.</w:t>
            </w:r>
          </w:p>
        </w:tc>
        <w:tc>
          <w:tcPr>
            <w:tcW w:type="dxa" w:w="256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Time blindness, deadline misses, chronic lateness</w:t>
            </w:r>
          </w:p>
        </w:tc>
        <w:tc>
          <w:tcPr>
            <w:tcW w:type="dxa" w:w="18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Relatively stable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Reward and Activation Processing</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The brain runs on interest, novelty, urgency, and challenge — not importance. Important-but-boring work cannot generate the activation energy needed to start.</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Task initiation failure, project neglect, documentation paralysis, prioritisation failure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Highly variable</w:t>
            </w:r>
          </w:p>
        </w:tc>
      </w:tr>
      <w:tr>
        <w:tc>
          <w:tcPr>
            <w:tcW w:type="dxa" w:w="18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Prospective Memory Failure</w:t>
            </w:r>
          </w:p>
        </w:tc>
        <w:tc>
          <w:tcPr>
            <w:tcW w:type="dxa" w:w="32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Forgetting intentions, not facts. You decided to reply to that email after lunch. After lunch, the intention is gone.</w:t>
            </w:r>
          </w:p>
        </w:tc>
        <w:tc>
          <w:tcPr>
            <w:tcW w:type="dxa" w:w="256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Email management, meeting follow-through, project neglect</w:t>
            </w:r>
          </w:p>
        </w:tc>
        <w:tc>
          <w:tcPr>
            <w:tcW w:type="dxa" w:w="18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Relatively stable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Encoding Deficit</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Information is processed in real time but never reaches long-term storage. You understood everything in the meeting but cannot recall it afterward.</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Meeting memory failure, attention-to-detail errors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Relatively stable</w:t>
            </w:r>
          </w:p>
        </w:tc>
      </w:tr>
      <w:tr>
        <w:tc>
          <w:tcPr>
            <w:tcW w:type="dxa" w:w="18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Attention Allocation Dysfunction</w:t>
            </w:r>
          </w:p>
        </w:tc>
        <w:tc>
          <w:tcPr>
            <w:tcW w:type="dxa" w:w="32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The inability to direct focus voluntarily. Produces both hypofocus (attention drifts) and hyperfocus (attention locks and cannot redirect). Same mechanism, opposite presentations.</w:t>
            </w:r>
          </w:p>
        </w:tc>
        <w:tc>
          <w:tcPr>
            <w:tcW w:type="dxa" w:w="256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Inconsistent focus, detail errors, context switching cost</w:t>
            </w:r>
          </w:p>
        </w:tc>
        <w:tc>
          <w:tcPr>
            <w:tcW w:type="dxa" w:w="18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Highly variable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Emotional Dysregulation</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Heightened sensitivity to criticism, rejection, and failure. Shame responses that are faster and more intense. Fear of doing something wrong can prevent starting.</w:t>
            </w:r>
          </w:p>
        </w:tc>
        <w:tc>
          <w:tcPr>
            <w:tcW w:type="dxa" w:w="2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Task initiation (fear component), documentation paralysis (anxiety component)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Highly variable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B4C7E" w:sz="6"/>
              <w:bottom w:val="single" w:color="DDDDDD" w:sz="1"/>
              <w:right w:val="single" w:color="DDDDDD" w:sz="1"/>
            </w:tcBorders>
            <w:shd w:fill="F5F5F5" w:val="clear"/>
            <w:tcMar>
              <w:top w:type="dxa" w:w="120"/>
              <w:left w:type="dxa" w:w="200"/>
              <w:bottom w:type="dxa" w:w="120"/>
              <w:right w:type="dxa" w:w="200"/>
            </w:tcMar>
          </w:tcPr>
          <w:p>
            <w:pPr>
              <w:spacing w:after="0"/>
            </w:pPr>
            <w:r>
              <w:rPr>
                <w:rFonts w:ascii="Arial" w:cs="Arial" w:eastAsia="Arial" w:hAnsi="Arial"/>
                <w:i/>
                <w:iCs/>
                <w:color w:val="333333"/>
                <w:sz w:val="21"/>
                <w:szCs w:val="21"/>
              </w:rPr>
              <w:t xml:space="preserve">The variability column matters for product design. A mechanism that’s “relatively stable” can be designed around with more confidence. One that’s “highly variable” means what works Monday may fail Tuesday — a product would need to adapt rather than assume.</w:t>
            </w:r>
          </w:p>
        </w:tc>
      </w:tr>
    </w:tbl>
    <w:p>
      <w:r>
        <w:br w:type="page"/>
      </w:r>
    </w:p>
    <w:p>
      <w:pPr>
        <w:pStyle w:val="Heading2"/>
        <w:spacing w:before="280" w:after="160"/>
      </w:pPr>
      <w:r>
        <w:rPr>
          <w:rFonts w:ascii="Arial" w:cs="Arial" w:eastAsia="Arial" w:hAnsi="Arial"/>
          <w:b/>
          <w:bCs/>
          <w:color w:val="5B7FA5"/>
          <w:sz w:val="26"/>
          <w:szCs w:val="26"/>
        </w:rPr>
        <w:t xml:space="preserve">Five Structural Challenges</w:t>
      </w:r>
    </w:p>
    <w:p>
      <w:pPr>
        <w:spacing w:after="160" w:line="300"/>
      </w:pPr>
      <w:r>
        <w:rPr>
          <w:rFonts w:ascii="Arial" w:cs="Arial" w:eastAsia="Arial" w:hAnsi="Arial"/>
          <w:color w:val="333333"/>
          <w:sz w:val="21"/>
          <w:szCs w:val="21"/>
        </w:rPr>
        <w:t xml:space="preserve">Beyond the problems themselves, five cross-cutting challenges constrain any product in this space. Based on current evidence, these appear to be persistent features of the landscape rather than risks that better design can eliminate.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560"/>
        <w:gridCol w:w="2800"/>
      </w:tblGrid>
      <w:tr>
        <w:tc>
          <w:tcPr>
            <w:tcW w:type="dxa" w:w="1800"/>
            <w:tcBorders>
              <w:top w:val="single" w:color="DDDDDD" w:sz="1"/>
              <w:left w:val="single" w:color="DDDDDD" w:sz="1"/>
              <w:bottom w:val="single" w:color="DDDDDD" w:sz="1"/>
              <w:right w:val="single" w:color="DDDDDD" w:sz="1"/>
            </w:tcBorders>
            <w:shd w:fill="2B4C7E" w:val="clear"/>
            <w:tcMar>
              <w:top w:type="dxa" w:w="60"/>
              <w:left w:type="dxa" w:w="100"/>
              <w:bottom w:type="dxa" w:w="60"/>
              <w:right w:type="dxa" w:w="100"/>
            </w:tcMar>
            <w:vAlign w:val="top"/>
          </w:tcPr>
          <w:p>
            <w:pPr>
              <w:spacing w:after="0"/>
            </w:pPr>
            <w:r>
              <w:rPr>
                <w:rFonts w:ascii="Arial" w:cs="Arial" w:eastAsia="Arial" w:hAnsi="Arial"/>
                <w:color w:val="FFFFFF"/>
                <w:sz w:val="20"/>
                <w:szCs w:val="20"/>
              </w:rPr>
              <w:t xml:space="preserve">Challenge</w:t>
            </w:r>
          </w:p>
        </w:tc>
        <w:tc>
          <w:tcPr>
            <w:tcW w:type="dxa" w:w="1200"/>
            <w:tcBorders>
              <w:top w:val="single" w:color="DDDDDD" w:sz="1"/>
              <w:left w:val="single" w:color="DDDDDD" w:sz="1"/>
              <w:bottom w:val="single" w:color="DDDDDD" w:sz="1"/>
              <w:right w:val="single" w:color="DDDDDD" w:sz="1"/>
            </w:tcBorders>
            <w:shd w:fill="2B4C7E" w:val="clear"/>
            <w:tcMar>
              <w:top w:type="dxa" w:w="60"/>
              <w:left w:type="dxa" w:w="100"/>
              <w:bottom w:type="dxa" w:w="60"/>
              <w:right w:type="dxa" w:w="100"/>
            </w:tcMar>
            <w:vAlign w:val="top"/>
          </w:tcPr>
          <w:p>
            <w:pPr>
              <w:spacing w:after="0"/>
            </w:pPr>
            <w:r>
              <w:rPr>
                <w:rFonts w:ascii="Arial" w:cs="Arial" w:eastAsia="Arial" w:hAnsi="Arial"/>
                <w:color w:val="FFFFFF"/>
                <w:sz w:val="20"/>
                <w:szCs w:val="20"/>
              </w:rPr>
              <w:t xml:space="preserve">Severity</w:t>
            </w:r>
          </w:p>
        </w:tc>
        <w:tc>
          <w:tcPr>
            <w:tcW w:type="dxa" w:w="3560"/>
            <w:tcBorders>
              <w:top w:val="single" w:color="DDDDDD" w:sz="1"/>
              <w:left w:val="single" w:color="DDDDDD" w:sz="1"/>
              <w:bottom w:val="single" w:color="DDDDDD" w:sz="1"/>
              <w:right w:val="single" w:color="DDDDDD" w:sz="1"/>
            </w:tcBorders>
            <w:shd w:fill="2B4C7E" w:val="clear"/>
            <w:tcMar>
              <w:top w:type="dxa" w:w="60"/>
              <w:left w:type="dxa" w:w="100"/>
              <w:bottom w:type="dxa" w:w="60"/>
              <w:right w:type="dxa" w:w="100"/>
            </w:tcMar>
            <w:vAlign w:val="top"/>
          </w:tcPr>
          <w:p>
            <w:pPr>
              <w:spacing w:after="0"/>
            </w:pPr>
            <w:r>
              <w:rPr>
                <w:rFonts w:ascii="Arial" w:cs="Arial" w:eastAsia="Arial" w:hAnsi="Arial"/>
                <w:color w:val="FFFFFF"/>
                <w:sz w:val="20"/>
                <w:szCs w:val="20"/>
              </w:rPr>
              <w:t xml:space="preserve">What It Means</w:t>
            </w:r>
          </w:p>
        </w:tc>
        <w:tc>
          <w:tcPr>
            <w:tcW w:type="dxa" w:w="2800"/>
            <w:tcBorders>
              <w:top w:val="single" w:color="DDDDDD" w:sz="1"/>
              <w:left w:val="single" w:color="DDDDDD" w:sz="1"/>
              <w:bottom w:val="single" w:color="DDDDDD" w:sz="1"/>
              <w:right w:val="single" w:color="DDDDDD" w:sz="1"/>
            </w:tcBorders>
            <w:shd w:fill="2B4C7E" w:val="clear"/>
            <w:tcMar>
              <w:top w:type="dxa" w:w="60"/>
              <w:left w:type="dxa" w:w="100"/>
              <w:bottom w:type="dxa" w:w="60"/>
              <w:right w:type="dxa" w:w="100"/>
            </w:tcMar>
            <w:vAlign w:val="top"/>
          </w:tcPr>
          <w:p>
            <w:pPr>
              <w:spacing w:after="0"/>
            </w:pPr>
            <w:r>
              <w:rPr>
                <w:rFonts w:ascii="Arial" w:cs="Arial" w:eastAsia="Arial" w:hAnsi="Arial"/>
                <w:color w:val="FFFFFF"/>
                <w:sz w:val="20"/>
                <w:szCs w:val="20"/>
              </w:rPr>
              <w:t xml:space="preserve">Key Evidence</w:t>
            </w:r>
          </w:p>
        </w:tc>
      </w:tr>
      <w:tr>
        <w:tc>
          <w:tcPr>
            <w:tcW w:type="dxa" w:w="18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Novelty Decay</w:t>
            </w:r>
          </w:p>
        </w:tc>
        <w:tc>
          <w:tcPr>
            <w:tcW w:type="dxa" w:w="12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Critical</w:t>
            </w:r>
          </w:p>
        </w:tc>
        <w:tc>
          <w:tcPr>
            <w:tcW w:type="dxa" w:w="356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The brain habituates to interventions as novelty fades. The tool that works brilliantly in week one may be invisible by week four.</w:t>
            </w:r>
          </w:p>
        </w:tc>
        <w:tc>
          <w:tcPr>
            <w:tcW w:type="dxa" w:w="28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56% medication adherence; 50–70% first-year discontinuation; 77% digital intervention non-completion</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Circular Dependency</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Critical</w:t>
            </w:r>
          </w:p>
        </w:tc>
        <w:tc>
          <w:tcPr>
            <w:tcW w:type="dxa" w:w="3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Every ADHD tool requires the cognitive functions it compensates for. You must remember to use the tool that helps you remember.</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52% of ADHD participants forgot a naturalistic task vs 21% controls</w:t>
            </w:r>
          </w:p>
        </w:tc>
      </w:tr>
      <w:tr>
        <w:tc>
          <w:tcPr>
            <w:tcW w:type="dxa" w:w="18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Shame-Avoidance Spiral</w:t>
            </w:r>
          </w:p>
        </w:tc>
        <w:tc>
          <w:tcPr>
            <w:tcW w:type="dxa" w:w="12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High</w:t>
            </w:r>
          </w:p>
        </w:tc>
        <w:tc>
          <w:tcPr>
            <w:tcW w:type="dxa" w:w="356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When the user falls behind, visible evidence of failure (overdue counts, broken streaks) triggers shame that makes re-engagement less likely, not more.</w:t>
            </w:r>
          </w:p>
        </w:tc>
        <w:tc>
          <w:tcPr>
            <w:tcW w:type="dxa" w:w="28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"73 overdue tasks glaring at me — I’d rather uninstall than confront the reality"</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Disclosure Constraint</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High</w:t>
            </w:r>
          </w:p>
        </w:tc>
        <w:tc>
          <w:tcPr>
            <w:tcW w:type="dxa" w:w="3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Using an ADHD-specific tool at work creates disclosure risk. Many adults have not disclosed and fear discrimination.</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Most successful adjacent tools (Motion, Sunsama, Reclaim) brand as general productivity</w:t>
            </w:r>
          </w:p>
        </w:tc>
      </w:tr>
      <w:tr>
        <w:tc>
          <w:tcPr>
            <w:tcW w:type="dxa" w:w="18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Notification Desensitisation</w:t>
            </w:r>
          </w:p>
        </w:tc>
        <w:tc>
          <w:tcPr>
            <w:tcW w:type="dxa" w:w="12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Moderate–High</w:t>
            </w:r>
          </w:p>
        </w:tc>
        <w:tc>
          <w:tcPr>
            <w:tcW w:type="dxa" w:w="356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ADHD brains desensitise to repeated notifications faster than neurotypical brains. Even a perfectly designed intervention fails if the notification that delivers it is no longer perceived.</w:t>
            </w:r>
          </w:p>
        </w:tc>
        <w:tc>
          <w:tcPr>
            <w:tcW w:type="dxa" w:w="28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SMS reminders increased login at module 2 only — no effect on remaining modules</w:t>
            </w:r>
          </w:p>
        </w:tc>
      </w:tr>
    </w:tbl>
    <w:p>
      <w:pPr>
        <w:spacing w:after="120"/>
      </w:pPr>
    </w:p>
    <w:p>
      <w:pPr>
        <w:spacing w:after="160" w:line="300"/>
      </w:pPr>
      <w:r>
        <w:rPr>
          <w:rFonts w:ascii="Arial" w:cs="Arial" w:eastAsia="Arial" w:hAnsi="Arial"/>
          <w:color w:val="333333"/>
          <w:sz w:val="21"/>
          <w:szCs w:val="21"/>
        </w:rPr>
        <w:t xml:space="preserve">These five challenges appear to compound. Novelty decay amplifies circular dependency (as the tool fades, the effort to remember it increases). Circular dependency amplifies the shame spiral (each missed session makes the next one harder to start). This compounding effect is inferred from the evidence, not directly measured — but it aligns with the dropout patterns observed across intervention types.</w:t>
      </w:r>
    </w:p>
    <w:p>
      <w:r>
        <w:br w:type="page"/>
      </w:r>
    </w:p>
    <w:p>
      <w:pPr>
        <w:pStyle w:val="Heading1"/>
        <w:spacing w:before="360" w:after="200"/>
      </w:pPr>
      <w:r>
        <w:rPr>
          <w:rFonts w:ascii="Arial" w:cs="Arial" w:eastAsia="Arial" w:hAnsi="Arial"/>
          <w:b/>
          <w:bCs/>
          <w:color w:val="2B4C7E"/>
          <w:sz w:val="32"/>
          <w:szCs w:val="32"/>
        </w:rPr>
        <w:t xml:space="preserve">3. The Option Space: Engagement Models and Compatibility</w:t>
      </w:r>
    </w:p>
    <w:p>
      <w:pPr>
        <w:spacing w:after="160" w:line="300"/>
      </w:pPr>
      <w:r>
        <w:rPr>
          <w:rFonts w:ascii="Arial" w:cs="Arial" w:eastAsia="Arial" w:hAnsi="Arial"/>
          <w:color w:val="333333"/>
          <w:sz w:val="21"/>
          <w:szCs w:val="21"/>
        </w:rPr>
        <w:t xml:space="preserve">Eight structurally distinct engagement models emerged from the research. Each describes a different relationship between user and product: who initiates, how much effort the user expends, when the product acts, and where it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B4C7E" w:sz="6"/>
              <w:bottom w:val="single" w:color="DDDDDD" w:sz="1"/>
              <w:right w:val="single" w:color="DDDDDD" w:sz="1"/>
            </w:tcBorders>
            <w:shd w:fill="F5F5F5" w:val="clear"/>
            <w:tcMar>
              <w:top w:type="dxa" w:w="120"/>
              <w:left w:type="dxa" w:w="200"/>
              <w:bottom w:type="dxa" w:w="120"/>
              <w:right w:type="dxa" w:w="200"/>
            </w:tcMar>
          </w:tcPr>
          <w:p>
            <w:pPr>
              <w:spacing w:after="0"/>
            </w:pPr>
            <w:r>
              <w:rPr>
                <w:rFonts w:ascii="Arial" w:cs="Arial" w:eastAsia="Arial" w:hAnsi="Arial"/>
                <w:i/>
                <w:iCs/>
                <w:color w:val="333333"/>
                <w:sz w:val="21"/>
                <w:szCs w:val="21"/>
              </w:rPr>
              <w:t xml:space="preserve">These are structural categories, not product concepts. No model is a recommendation. The value of this taxonomy is understanding structural advantages and vulnerabilities before choosing a direction.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1100"/>
        <w:gridCol w:w="1200"/>
        <w:gridCol w:w="2860"/>
      </w:tblGrid>
      <w:tr>
        <w:tc>
          <w:tcPr>
            <w:tcW w:type="dxa" w:w="1600"/>
            <w:tcBorders>
              <w:top w:val="single" w:color="DDDDDD" w:sz="1"/>
              <w:left w:val="single" w:color="DDDDDD" w:sz="1"/>
              <w:bottom w:val="single" w:color="DDDDDD" w:sz="1"/>
              <w:right w:val="single" w:color="DDDDDD" w:sz="1"/>
            </w:tcBorders>
            <w:shd w:fill="2B4C7E" w:val="clear"/>
            <w:tcMar>
              <w:top w:type="dxa" w:w="60"/>
              <w:left w:type="dxa" w:w="100"/>
              <w:bottom w:type="dxa" w:w="60"/>
              <w:right w:type="dxa" w:w="100"/>
            </w:tcMar>
            <w:vAlign w:val="top"/>
          </w:tcPr>
          <w:p>
            <w:pPr>
              <w:spacing w:after="0"/>
            </w:pPr>
            <w:r>
              <w:rPr>
                <w:rFonts w:ascii="Arial" w:cs="Arial" w:eastAsia="Arial" w:hAnsi="Arial"/>
                <w:color w:val="FFFFFF"/>
                <w:sz w:val="20"/>
                <w:szCs w:val="20"/>
              </w:rPr>
              <w:t xml:space="preserve">Model</w:t>
            </w:r>
          </w:p>
        </w:tc>
        <w:tc>
          <w:tcPr>
            <w:tcW w:type="dxa" w:w="1400"/>
            <w:tcBorders>
              <w:top w:val="single" w:color="DDDDDD" w:sz="1"/>
              <w:left w:val="single" w:color="DDDDDD" w:sz="1"/>
              <w:bottom w:val="single" w:color="DDDDDD" w:sz="1"/>
              <w:right w:val="single" w:color="DDDDDD" w:sz="1"/>
            </w:tcBorders>
            <w:shd w:fill="2B4C7E" w:val="clear"/>
            <w:tcMar>
              <w:top w:type="dxa" w:w="60"/>
              <w:left w:type="dxa" w:w="100"/>
              <w:bottom w:type="dxa" w:w="60"/>
              <w:right w:type="dxa" w:w="100"/>
            </w:tcMar>
            <w:vAlign w:val="top"/>
          </w:tcPr>
          <w:p>
            <w:pPr>
              <w:spacing w:after="0"/>
            </w:pPr>
            <w:r>
              <w:rPr>
                <w:rFonts w:ascii="Arial" w:cs="Arial" w:eastAsia="Arial" w:hAnsi="Arial"/>
                <w:color w:val="FFFFFF"/>
                <w:sz w:val="20"/>
                <w:szCs w:val="20"/>
              </w:rPr>
              <w:t xml:space="preserve">Initiation</w:t>
            </w:r>
          </w:p>
        </w:tc>
        <w:tc>
          <w:tcPr>
            <w:tcW w:type="dxa" w:w="1200"/>
            <w:tcBorders>
              <w:top w:val="single" w:color="DDDDDD" w:sz="1"/>
              <w:left w:val="single" w:color="DDDDDD" w:sz="1"/>
              <w:bottom w:val="single" w:color="DDDDDD" w:sz="1"/>
              <w:right w:val="single" w:color="DDDDDD" w:sz="1"/>
            </w:tcBorders>
            <w:shd w:fill="2B4C7E" w:val="clear"/>
            <w:tcMar>
              <w:top w:type="dxa" w:w="60"/>
              <w:left w:type="dxa" w:w="100"/>
              <w:bottom w:type="dxa" w:w="60"/>
              <w:right w:type="dxa" w:w="100"/>
            </w:tcMar>
            <w:vAlign w:val="top"/>
          </w:tcPr>
          <w:p>
            <w:pPr>
              <w:spacing w:after="0"/>
            </w:pPr>
            <w:r>
              <w:rPr>
                <w:rFonts w:ascii="Arial" w:cs="Arial" w:eastAsia="Arial" w:hAnsi="Arial"/>
                <w:color w:val="FFFFFF"/>
                <w:sz w:val="20"/>
                <w:szCs w:val="20"/>
              </w:rPr>
              <w:t xml:space="preserve">User Effort</w:t>
            </w:r>
          </w:p>
        </w:tc>
        <w:tc>
          <w:tcPr>
            <w:tcW w:type="dxa" w:w="1100"/>
            <w:tcBorders>
              <w:top w:val="single" w:color="DDDDDD" w:sz="1"/>
              <w:left w:val="single" w:color="DDDDDD" w:sz="1"/>
              <w:bottom w:val="single" w:color="DDDDDD" w:sz="1"/>
              <w:right w:val="single" w:color="DDDDDD" w:sz="1"/>
            </w:tcBorders>
            <w:shd w:fill="2B4C7E" w:val="clear"/>
            <w:tcMar>
              <w:top w:type="dxa" w:w="60"/>
              <w:left w:type="dxa" w:w="100"/>
              <w:bottom w:type="dxa" w:w="60"/>
              <w:right w:type="dxa" w:w="100"/>
            </w:tcMar>
            <w:vAlign w:val="top"/>
          </w:tcPr>
          <w:p>
            <w:pPr>
              <w:spacing w:after="0"/>
            </w:pPr>
            <w:r>
              <w:rPr>
                <w:rFonts w:ascii="Arial" w:cs="Arial" w:eastAsia="Arial" w:hAnsi="Arial"/>
                <w:color w:val="FFFFFF"/>
                <w:sz w:val="20"/>
                <w:szCs w:val="20"/>
              </w:rPr>
              <w:t xml:space="preserve">Timing</w:t>
            </w:r>
          </w:p>
        </w:tc>
        <w:tc>
          <w:tcPr>
            <w:tcW w:type="dxa" w:w="1200"/>
            <w:tcBorders>
              <w:top w:val="single" w:color="DDDDDD" w:sz="1"/>
              <w:left w:val="single" w:color="DDDDDD" w:sz="1"/>
              <w:bottom w:val="single" w:color="DDDDDD" w:sz="1"/>
              <w:right w:val="single" w:color="DDDDDD" w:sz="1"/>
            </w:tcBorders>
            <w:shd w:fill="2B4C7E" w:val="clear"/>
            <w:tcMar>
              <w:top w:type="dxa" w:w="60"/>
              <w:left w:type="dxa" w:w="100"/>
              <w:bottom w:type="dxa" w:w="60"/>
              <w:right w:type="dxa" w:w="100"/>
            </w:tcMar>
            <w:vAlign w:val="top"/>
          </w:tcPr>
          <w:p>
            <w:pPr>
              <w:spacing w:after="0"/>
            </w:pPr>
            <w:r>
              <w:rPr>
                <w:rFonts w:ascii="Arial" w:cs="Arial" w:eastAsia="Arial" w:hAnsi="Arial"/>
                <w:color w:val="FFFFFF"/>
                <w:sz w:val="20"/>
                <w:szCs w:val="20"/>
              </w:rPr>
              <w:t xml:space="preserve">Continuity</w:t>
            </w:r>
          </w:p>
        </w:tc>
        <w:tc>
          <w:tcPr>
            <w:tcW w:type="dxa" w:w="2860"/>
            <w:tcBorders>
              <w:top w:val="single" w:color="DDDDDD" w:sz="1"/>
              <w:left w:val="single" w:color="DDDDDD" w:sz="1"/>
              <w:bottom w:val="single" w:color="DDDDDD" w:sz="1"/>
              <w:right w:val="single" w:color="DDDDDD" w:sz="1"/>
            </w:tcBorders>
            <w:shd w:fill="2B4C7E" w:val="clear"/>
            <w:tcMar>
              <w:top w:type="dxa" w:w="60"/>
              <w:left w:type="dxa" w:w="100"/>
              <w:bottom w:type="dxa" w:w="60"/>
              <w:right w:type="dxa" w:w="100"/>
            </w:tcMar>
            <w:vAlign w:val="top"/>
          </w:tcPr>
          <w:p>
            <w:pPr>
              <w:spacing w:after="0"/>
            </w:pPr>
            <w:r>
              <w:rPr>
                <w:rFonts w:ascii="Arial" w:cs="Arial" w:eastAsia="Arial" w:hAnsi="Arial"/>
                <w:color w:val="FFFFFF"/>
                <w:sz w:val="20"/>
                <w:szCs w:val="20"/>
              </w:rPr>
              <w:t xml:space="preserve">Meta-Challenge Vulnerability</w:t>
            </w:r>
          </w:p>
        </w:tc>
      </w:tr>
      <w:tr>
        <w:tc>
          <w:tcPr>
            <w:tcW w:type="dxa" w:w="16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Ambient Monitor</w:t>
            </w:r>
          </w:p>
        </w:tc>
        <w:tc>
          <w:tcPr>
            <w:tcW w:type="dxa" w:w="14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Product-initiated</w:t>
            </w:r>
          </w:p>
        </w:tc>
        <w:tc>
          <w:tcPr>
            <w:tcW w:type="dxa" w:w="12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Near-zero</w:t>
            </w:r>
          </w:p>
        </w:tc>
        <w:tc>
          <w:tcPr>
            <w:tcW w:type="dxa" w:w="11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During</w:t>
            </w:r>
          </w:p>
        </w:tc>
        <w:tc>
          <w:tcPr>
            <w:tcW w:type="dxa" w:w="12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Embedded</w:t>
            </w:r>
          </w:p>
        </w:tc>
        <w:tc>
          <w:tcPr>
            <w:tcW w:type="dxa" w:w="2860"/>
            <w:tcBorders>
              <w:top w:val="single" w:color="DDDDDD" w:sz="1"/>
              <w:left w:val="single" w:color="DDDDDD" w:sz="1"/>
              <w:bottom w:val="single" w:color="DDDDDD" w:sz="1"/>
              <w:right w:val="single" w:color="DDDDDD" w:sz="1"/>
            </w:tcBorders>
            <w:shd w:fill="FFF8E1" w:val="clear"/>
            <w:tcMar>
              <w:top w:type="dxa" w:w="60"/>
              <w:left w:type="dxa" w:w="100"/>
              <w:bottom w:type="dxa" w:w="60"/>
              <w:right w:type="dxa" w:w="100"/>
            </w:tcMar>
            <w:vAlign w:val="top"/>
          </w:tcPr>
          <w:p>
            <w:pPr>
              <w:spacing w:after="0"/>
            </w:pPr>
            <w:r>
              <w:rPr>
                <w:rFonts w:ascii="Arial" w:cs="Arial" w:eastAsia="Arial" w:hAnsi="Arial"/>
                <w:color w:val="F57F17"/>
                <w:sz w:val="20"/>
                <w:szCs w:val="20"/>
              </w:rPr>
              <w:t xml:space="preserve">1H / 2M / 2L</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Passive Capture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Product-initiated</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Zero</w:t>
            </w:r>
          </w:p>
        </w:tc>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After</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Embedded</w:t>
            </w:r>
          </w:p>
        </w:tc>
        <w:tc>
          <w:tcPr>
            <w:tcW w:type="dxa" w:w="286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vAlign w:val="top"/>
          </w:tcPr>
          <w:p>
            <w:pPr>
              <w:spacing w:after="0"/>
            </w:pPr>
            <w:r>
              <w:rPr>
                <w:rFonts w:ascii="Arial" w:cs="Arial" w:eastAsia="Arial" w:hAnsi="Arial"/>
                <w:color w:val="2E7D32"/>
                <w:sz w:val="20"/>
                <w:szCs w:val="20"/>
              </w:rPr>
              <w:t xml:space="preserve">0H / 2M / 3L</w:t>
            </w:r>
          </w:p>
        </w:tc>
      </w:tr>
      <w:tr>
        <w:tc>
          <w:tcPr>
            <w:tcW w:type="dxa" w:w="16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Modality Shift</w:t>
            </w:r>
          </w:p>
        </w:tc>
        <w:tc>
          <w:tcPr>
            <w:tcW w:type="dxa" w:w="14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User-initiated</w:t>
            </w:r>
          </w:p>
        </w:tc>
        <w:tc>
          <w:tcPr>
            <w:tcW w:type="dxa" w:w="12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Moderate</w:t>
            </w:r>
          </w:p>
        </w:tc>
        <w:tc>
          <w:tcPr>
            <w:tcW w:type="dxa" w:w="11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During</w:t>
            </w:r>
          </w:p>
        </w:tc>
        <w:tc>
          <w:tcPr>
            <w:tcW w:type="dxa" w:w="12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Separate</w:t>
            </w:r>
          </w:p>
        </w:tc>
        <w:tc>
          <w:tcPr>
            <w:tcW w:type="dxa" w:w="2860"/>
            <w:tcBorders>
              <w:top w:val="single" w:color="DDDDDD" w:sz="1"/>
              <w:left w:val="single" w:color="DDDDDD" w:sz="1"/>
              <w:bottom w:val="single" w:color="DDDDDD" w:sz="1"/>
              <w:right w:val="single" w:color="DDDDDD" w:sz="1"/>
            </w:tcBorders>
            <w:shd w:fill="FFF8E1" w:val="clear"/>
            <w:tcMar>
              <w:top w:type="dxa" w:w="60"/>
              <w:left w:type="dxa" w:w="100"/>
              <w:bottom w:type="dxa" w:w="60"/>
              <w:right w:type="dxa" w:w="100"/>
            </w:tcMar>
            <w:vAlign w:val="top"/>
          </w:tcPr>
          <w:p>
            <w:pPr>
              <w:spacing w:after="0"/>
            </w:pPr>
            <w:r>
              <w:rPr>
                <w:rFonts w:ascii="Arial" w:cs="Arial" w:eastAsia="Arial" w:hAnsi="Arial"/>
                <w:color w:val="F57F17"/>
                <w:sz w:val="20"/>
                <w:szCs w:val="20"/>
              </w:rPr>
              <w:t xml:space="preserve">1H / 2M / 2L</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Intelligent Reorder</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Balanced</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Low</w:t>
            </w:r>
          </w:p>
        </w:tc>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Before</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Embedded</w:t>
            </w:r>
          </w:p>
        </w:tc>
        <w:tc>
          <w:tcPr>
            <w:tcW w:type="dxa" w:w="286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vAlign w:val="top"/>
          </w:tcPr>
          <w:p>
            <w:pPr>
              <w:spacing w:after="0"/>
            </w:pPr>
            <w:r>
              <w:rPr>
                <w:rFonts w:ascii="Arial" w:cs="Arial" w:eastAsia="Arial" w:hAnsi="Arial"/>
                <w:color w:val="2E7D32"/>
                <w:sz w:val="20"/>
                <w:szCs w:val="20"/>
              </w:rPr>
              <w:t xml:space="preserve">0H / 4M / 1L</w:t>
            </w:r>
          </w:p>
        </w:tc>
      </w:tr>
      <w:tr>
        <w:tc>
          <w:tcPr>
            <w:tcW w:type="dxa" w:w="16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Calibration Loop</w:t>
            </w:r>
          </w:p>
        </w:tc>
        <w:tc>
          <w:tcPr>
            <w:tcW w:type="dxa" w:w="14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Balanced</w:t>
            </w:r>
          </w:p>
        </w:tc>
        <w:tc>
          <w:tcPr>
            <w:tcW w:type="dxa" w:w="12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Moderate</w:t>
            </w:r>
          </w:p>
        </w:tc>
        <w:tc>
          <w:tcPr>
            <w:tcW w:type="dxa" w:w="11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Before/During</w:t>
            </w:r>
          </w:p>
        </w:tc>
        <w:tc>
          <w:tcPr>
            <w:tcW w:type="dxa" w:w="12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Partial</w:t>
            </w:r>
          </w:p>
        </w:tc>
        <w:tc>
          <w:tcPr>
            <w:tcW w:type="dxa" w:w="2860"/>
            <w:tcBorders>
              <w:top w:val="single" w:color="DDDDDD" w:sz="1"/>
              <w:left w:val="single" w:color="DDDDDD" w:sz="1"/>
              <w:bottom w:val="single" w:color="DDDDDD" w:sz="1"/>
              <w:right w:val="single" w:color="DDDDDD" w:sz="1"/>
            </w:tcBorders>
            <w:shd w:fill="FFF8E1" w:val="clear"/>
            <w:tcMar>
              <w:top w:type="dxa" w:w="60"/>
              <w:left w:type="dxa" w:w="100"/>
              <w:bottom w:type="dxa" w:w="60"/>
              <w:right w:type="dxa" w:w="100"/>
            </w:tcMar>
            <w:vAlign w:val="top"/>
          </w:tcPr>
          <w:p>
            <w:pPr>
              <w:spacing w:after="0"/>
            </w:pPr>
            <w:r>
              <w:rPr>
                <w:rFonts w:ascii="Arial" w:cs="Arial" w:eastAsia="Arial" w:hAnsi="Arial"/>
                <w:color w:val="F57F17"/>
                <w:sz w:val="20"/>
                <w:szCs w:val="20"/>
              </w:rPr>
              <w:t xml:space="preserve">1H / 4M / 0L</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Periodic Injection</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Product-initiated</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Low</w:t>
            </w:r>
          </w:p>
        </w:tc>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Before</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Embedded</w:t>
            </w:r>
          </w:p>
        </w:tc>
        <w:tc>
          <w:tcPr>
            <w:tcW w:type="dxa" w:w="286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vAlign w:val="top"/>
          </w:tcPr>
          <w:p>
            <w:pPr>
              <w:spacing w:after="0"/>
            </w:pPr>
            <w:r>
              <w:rPr>
                <w:rFonts w:ascii="Arial" w:cs="Arial" w:eastAsia="Arial" w:hAnsi="Arial"/>
                <w:color w:val="2E7D32"/>
                <w:sz w:val="20"/>
                <w:szCs w:val="20"/>
              </w:rPr>
              <w:t xml:space="preserve">0H / 2M / 3L</w:t>
            </w:r>
          </w:p>
        </w:tc>
      </w:tr>
      <w:tr>
        <w:tc>
          <w:tcPr>
            <w:tcW w:type="dxa" w:w="16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Structured Check-In</w:t>
            </w:r>
          </w:p>
        </w:tc>
        <w:tc>
          <w:tcPr>
            <w:tcW w:type="dxa" w:w="14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Product-prompted</w:t>
            </w:r>
          </w:p>
        </w:tc>
        <w:tc>
          <w:tcPr>
            <w:tcW w:type="dxa" w:w="12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Moderate</w:t>
            </w:r>
          </w:p>
        </w:tc>
        <w:tc>
          <w:tcPr>
            <w:tcW w:type="dxa" w:w="11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Before</w:t>
            </w:r>
          </w:p>
        </w:tc>
        <w:tc>
          <w:tcPr>
            <w:tcW w:type="dxa" w:w="12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Separate</w:t>
            </w:r>
          </w:p>
        </w:tc>
        <w:tc>
          <w:tcPr>
            <w:tcW w:type="dxa" w:w="2860"/>
            <w:tcBorders>
              <w:top w:val="single" w:color="DDDDDD" w:sz="1"/>
              <w:left w:val="single" w:color="DDDDDD" w:sz="1"/>
              <w:bottom w:val="single" w:color="DDDDDD" w:sz="1"/>
              <w:right w:val="single" w:color="DDDDDD" w:sz="1"/>
            </w:tcBorders>
            <w:shd w:fill="FFEBEE" w:val="clear"/>
            <w:tcMar>
              <w:top w:type="dxa" w:w="60"/>
              <w:left w:type="dxa" w:w="100"/>
              <w:bottom w:type="dxa" w:w="60"/>
              <w:right w:type="dxa" w:w="100"/>
            </w:tcMar>
            <w:vAlign w:val="top"/>
          </w:tcPr>
          <w:p>
            <w:pPr>
              <w:spacing w:after="0"/>
            </w:pPr>
            <w:r>
              <w:rPr>
                <w:rFonts w:ascii="Arial" w:cs="Arial" w:eastAsia="Arial" w:hAnsi="Arial"/>
                <w:color w:val="C62828"/>
                <w:sz w:val="20"/>
                <w:szCs w:val="20"/>
              </w:rPr>
              <w:t xml:space="preserve">3H / 2M / 0L</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On-Demand Scaffold</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User-initiated</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Low–Moderate</w:t>
            </w:r>
          </w:p>
        </w:tc>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During</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Either</w:t>
            </w:r>
          </w:p>
        </w:tc>
        <w:tc>
          <w:tcPr>
            <w:tcW w:type="dxa" w:w="2860"/>
            <w:tcBorders>
              <w:top w:val="single" w:color="DDDDDD" w:sz="1"/>
              <w:left w:val="single" w:color="DDDDDD" w:sz="1"/>
              <w:bottom w:val="single" w:color="DDDDDD" w:sz="1"/>
              <w:right w:val="single" w:color="DDDDDD" w:sz="1"/>
            </w:tcBorders>
            <w:shd w:fill="FFF8E1" w:val="clear"/>
            <w:tcMar>
              <w:top w:type="dxa" w:w="60"/>
              <w:left w:type="dxa" w:w="100"/>
              <w:bottom w:type="dxa" w:w="60"/>
              <w:right w:type="dxa" w:w="100"/>
            </w:tcMar>
            <w:vAlign w:val="top"/>
          </w:tcPr>
          <w:p>
            <w:pPr>
              <w:spacing w:after="0"/>
            </w:pPr>
            <w:r>
              <w:rPr>
                <w:rFonts w:ascii="Arial" w:cs="Arial" w:eastAsia="Arial" w:hAnsi="Arial"/>
                <w:color w:val="F57F17"/>
                <w:sz w:val="20"/>
                <w:szCs w:val="20"/>
              </w:rPr>
              <w:t xml:space="preserve">1H / 0M / 4L</w:t>
            </w:r>
          </w:p>
        </w:tc>
      </w:tr>
    </w:tbl>
    <w:p>
      <w:pPr>
        <w:spacing w:after="120"/>
      </w:pPr>
    </w:p>
    <w:p>
      <w:pPr>
        <w:spacing w:after="160" w:line="300"/>
      </w:pPr>
      <w:r>
        <w:rPr>
          <w:rFonts w:ascii="Arial" w:cs="Arial" w:eastAsia="Arial" w:hAnsi="Arial"/>
          <w:color w:val="333333"/>
          <w:sz w:val="21"/>
          <w:szCs w:val="21"/>
        </w:rPr>
        <w:t xml:space="preserve">The vulnerability column reads as: </w:t>
      </w:r>
      <w:r>
        <w:rPr>
          <w:rFonts w:ascii="Arial" w:cs="Arial" w:eastAsia="Arial" w:hAnsi="Arial"/>
          <w:b/>
          <w:bCs/>
          <w:color w:val="333333"/>
          <w:sz w:val="21"/>
          <w:szCs w:val="21"/>
        </w:rPr>
        <w:t xml:space="preserve">H</w:t>
      </w:r>
      <w:r>
        <w:rPr>
          <w:rFonts w:ascii="Arial" w:cs="Arial" w:eastAsia="Arial" w:hAnsi="Arial"/>
          <w:color w:val="333333"/>
          <w:sz w:val="21"/>
          <w:szCs w:val="21"/>
        </w:rPr>
        <w:t xml:space="preserve"> = high vulnerability, </w:t>
      </w:r>
      <w:r>
        <w:rPr>
          <w:rFonts w:ascii="Arial" w:cs="Arial" w:eastAsia="Arial" w:hAnsi="Arial"/>
          <w:b/>
          <w:bCs/>
          <w:color w:val="333333"/>
          <w:sz w:val="21"/>
          <w:szCs w:val="21"/>
        </w:rPr>
        <w:t xml:space="preserve">M</w:t>
      </w:r>
      <w:r>
        <w:rPr>
          <w:rFonts w:ascii="Arial" w:cs="Arial" w:eastAsia="Arial" w:hAnsi="Arial"/>
          <w:color w:val="333333"/>
          <w:sz w:val="21"/>
          <w:szCs w:val="21"/>
        </w:rPr>
        <w:t xml:space="preserve"> = moderate, </w:t>
      </w:r>
      <w:r>
        <w:rPr>
          <w:rFonts w:ascii="Arial" w:cs="Arial" w:eastAsia="Arial" w:hAnsi="Arial"/>
          <w:b/>
          <w:bCs/>
          <w:color w:val="333333"/>
          <w:sz w:val="21"/>
          <w:szCs w:val="21"/>
        </w:rPr>
        <w:t xml:space="preserve">L</w:t>
      </w:r>
      <w:r>
        <w:rPr>
          <w:rFonts w:ascii="Arial" w:cs="Arial" w:eastAsia="Arial" w:hAnsi="Arial"/>
          <w:color w:val="333333"/>
          <w:sz w:val="21"/>
          <w:szCs w:val="21"/>
        </w:rPr>
        <w:t xml:space="preserve"> = low, across all five meta-challenges. In our analysis, Passive Capture and Periodic Injection have the fewest high vulnerabilities (0 each). Structured Check-In has the most (3). This appears structural — check-ins depend on the cognitive functions ADHD impairs — but these ratings are our interpretation, not empirical measurement.</w:t>
      </w:r>
    </w:p>
    <w:p>
      <w:pPr>
        <w:pStyle w:val="Heading2"/>
        <w:spacing w:before="280" w:after="160"/>
      </w:pPr>
      <w:r>
        <w:rPr>
          <w:rFonts w:ascii="Arial" w:cs="Arial" w:eastAsia="Arial" w:hAnsi="Arial"/>
          <w:b/>
          <w:bCs/>
          <w:color w:val="5B7FA5"/>
          <w:sz w:val="26"/>
          <w:szCs w:val="26"/>
        </w:rPr>
        <w:t xml:space="preserve">Problem-Model Compatibility: Key Patterns</w:t>
      </w:r>
    </w:p>
    <w:p>
      <w:pPr>
        <w:spacing w:after="160" w:line="300"/>
      </w:pPr>
      <w:r>
        <w:rPr>
          <w:rFonts w:ascii="Arial" w:cs="Arial" w:eastAsia="Arial" w:hAnsi="Arial"/>
          <w:color w:val="333333"/>
          <w:sz w:val="21"/>
          <w:szCs w:val="21"/>
        </w:rPr>
        <w:t xml:space="preserve">The full compatibility matrix maps six problem areas against eight models, producing 48 ratings (S = strongly compatible, P = partially compatible, X = incompatible). Three patterns stand out:</w:t>
      </w:r>
    </w:p>
    <w:p>
      <w:pPr>
        <w:spacing w:before="200" w:after="120"/>
      </w:pPr>
      <w:r>
        <w:rPr>
          <w:rFonts w:ascii="Arial" w:cs="Arial" w:eastAsia="Arial" w:hAnsi="Arial"/>
          <w:b/>
          <w:bCs/>
          <w:color w:val="1A1A2E"/>
          <w:sz w:val="22"/>
          <w:szCs w:val="22"/>
        </w:rPr>
        <w:t xml:space="preserve">Pattern 1: No single model covers everything</w:t>
      </w:r>
    </w:p>
    <w:p>
      <w:pPr>
        <w:spacing w:after="160" w:line="300"/>
      </w:pPr>
      <w:r>
        <w:rPr>
          <w:rFonts w:ascii="Arial" w:cs="Arial" w:eastAsia="Arial" w:hAnsi="Arial"/>
          <w:color w:val="333333"/>
          <w:sz w:val="21"/>
          <w:szCs w:val="21"/>
        </w:rPr>
        <w:t xml:space="preserve">In the compatibility analysis, no engagement model rates as strongly compatible with all six problem areas. The broadest (Ambient Monitor) achieves strong compatibility with three of six. This suggests that a product addressing the full problem space would likely need to combine multiple models.</w:t>
      </w:r>
    </w:p>
    <w:p>
      <w:pPr>
        <w:spacing w:before="200" w:after="120"/>
      </w:pPr>
      <w:r>
        <w:rPr>
          <w:rFonts w:ascii="Arial" w:cs="Arial" w:eastAsia="Arial" w:hAnsi="Arial"/>
          <w:b/>
          <w:bCs/>
          <w:color w:val="1A1A2E"/>
          <w:sz w:val="22"/>
          <w:szCs w:val="22"/>
        </w:rPr>
        <w:t xml:space="preserve">Pattern 2: Product-initiated models appear structurally advantaged</w:t>
      </w:r>
    </w:p>
    <w:p>
      <w:pPr>
        <w:spacing w:after="160" w:line="300"/>
      </w:pPr>
      <w:r>
        <w:rPr>
          <w:rFonts w:ascii="Arial" w:cs="Arial" w:eastAsia="Arial" w:hAnsi="Arial"/>
          <w:color w:val="333333"/>
          <w:sz w:val="21"/>
          <w:szCs w:val="21"/>
        </w:rPr>
        <w:t xml:space="preserve">In the meta-challenge analysis, models where the product comes to the user (Ambient Monitor, Passive Capture, Periodic Injection) are consistently less vulnerable to bootstrapping and notification desensitisation than models requiring user initiation. This advantage appears rooted in the neurological deficits themselves rather than in UX quality, though that inference has not been tested.</w:t>
      </w:r>
    </w:p>
    <w:p>
      <w:pPr>
        <w:spacing w:before="200" w:after="120"/>
      </w:pPr>
      <w:r>
        <w:rPr>
          <w:rFonts w:ascii="Arial" w:cs="Arial" w:eastAsia="Arial" w:hAnsi="Arial"/>
          <w:b/>
          <w:bCs/>
          <w:color w:val="1A1A2E"/>
          <w:sz w:val="22"/>
          <w:szCs w:val="22"/>
        </w:rPr>
        <w:t xml:space="preserve">Pattern 3: The most robust evidence covers the narrowest scope</w:t>
      </w:r>
    </w:p>
    <w:p>
      <w:pPr>
        <w:spacing w:after="160" w:line="300"/>
      </w:pPr>
      <w:r>
        <w:rPr>
          <w:rFonts w:ascii="Arial" w:cs="Arial" w:eastAsia="Arial" w:hAnsi="Arial"/>
          <w:color w:val="333333"/>
          <w:sz w:val="21"/>
          <w:szCs w:val="21"/>
        </w:rPr>
        <w:t xml:space="preserve">Passive Capture has the fewest high meta-challenge vulnerabilities in our analysis (0), the most robust clinical evidence (Tier 1 encoding and prospective memory data), and no ADHD-specific competitors were identified in our research. But it is strongly compatible with only two of six problem areas: meeting memory and email management.</w:t>
      </w:r>
    </w:p>
    <w:p>
      <w:pPr>
        <w:pStyle w:val="Heading2"/>
        <w:spacing w:before="280" w:after="160"/>
      </w:pPr>
      <w:r>
        <w:rPr>
          <w:rFonts w:ascii="Arial" w:cs="Arial" w:eastAsia="Arial" w:hAnsi="Arial"/>
          <w:b/>
          <w:bCs/>
          <w:color w:val="5B7FA5"/>
          <w:sz w:val="26"/>
          <w:szCs w:val="26"/>
        </w:rPr>
        <w:t xml:space="preserve">Seven Shared Foundations</w:t>
      </w:r>
    </w:p>
    <w:p>
      <w:pPr>
        <w:spacing w:after="160" w:line="300"/>
      </w:pPr>
      <w:r>
        <w:rPr>
          <w:rFonts w:ascii="Arial" w:cs="Arial" w:eastAsia="Arial" w:hAnsi="Arial"/>
          <w:color w:val="333333"/>
          <w:sz w:val="21"/>
          <w:szCs w:val="21"/>
        </w:rPr>
        <w:t xml:space="preserve">Seven capabilities appear across three or more engagement models. Based on the compatibility analysis, these appear to be needed regardless of which product direction is chosen.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c>
          <w:tcPr>
            <w:tcW w:type="dxa" w:w="2000"/>
            <w:tcBorders>
              <w:top w:val="single" w:color="DDDDDD" w:sz="1"/>
              <w:left w:val="single" w:color="DDDDDD" w:sz="1"/>
              <w:bottom w:val="single" w:color="DDDDDD" w:sz="1"/>
              <w:right w:val="single" w:color="DDDDDD" w:sz="1"/>
            </w:tcBorders>
            <w:shd w:fill="2B4C7E" w:val="clear"/>
            <w:tcMar>
              <w:top w:type="dxa" w:w="60"/>
              <w:left w:type="dxa" w:w="100"/>
              <w:bottom w:type="dxa" w:w="60"/>
              <w:right w:type="dxa" w:w="100"/>
            </w:tcMar>
            <w:vAlign w:val="top"/>
          </w:tcPr>
          <w:p>
            <w:pPr>
              <w:spacing w:after="0"/>
            </w:pPr>
            <w:r>
              <w:rPr>
                <w:rFonts w:ascii="Arial" w:cs="Arial" w:eastAsia="Arial" w:hAnsi="Arial"/>
                <w:color w:val="FFFFFF"/>
                <w:sz w:val="20"/>
                <w:szCs w:val="20"/>
              </w:rPr>
              <w:t xml:space="preserve">Foundation</w:t>
            </w:r>
          </w:p>
        </w:tc>
        <w:tc>
          <w:tcPr>
            <w:tcW w:type="dxa" w:w="1800"/>
            <w:tcBorders>
              <w:top w:val="single" w:color="DDDDDD" w:sz="1"/>
              <w:left w:val="single" w:color="DDDDDD" w:sz="1"/>
              <w:bottom w:val="single" w:color="DDDDDD" w:sz="1"/>
              <w:right w:val="single" w:color="DDDDDD" w:sz="1"/>
            </w:tcBorders>
            <w:shd w:fill="2B4C7E" w:val="clear"/>
            <w:tcMar>
              <w:top w:type="dxa" w:w="60"/>
              <w:left w:type="dxa" w:w="100"/>
              <w:bottom w:type="dxa" w:w="60"/>
              <w:right w:type="dxa" w:w="100"/>
            </w:tcMar>
            <w:vAlign w:val="top"/>
          </w:tcPr>
          <w:p>
            <w:pPr>
              <w:spacing w:after="0"/>
            </w:pPr>
            <w:r>
              <w:rPr>
                <w:rFonts w:ascii="Arial" w:cs="Arial" w:eastAsia="Arial" w:hAnsi="Arial"/>
                <w:color w:val="FFFFFF"/>
                <w:sz w:val="20"/>
                <w:szCs w:val="20"/>
              </w:rPr>
              <w:t xml:space="preserve">Required By</w:t>
            </w:r>
          </w:p>
        </w:tc>
        <w:tc>
          <w:tcPr>
            <w:tcW w:type="dxa" w:w="1400"/>
            <w:tcBorders>
              <w:top w:val="single" w:color="DDDDDD" w:sz="1"/>
              <w:left w:val="single" w:color="DDDDDD" w:sz="1"/>
              <w:bottom w:val="single" w:color="DDDDDD" w:sz="1"/>
              <w:right w:val="single" w:color="DDDDDD" w:sz="1"/>
            </w:tcBorders>
            <w:shd w:fill="2B4C7E" w:val="clear"/>
            <w:tcMar>
              <w:top w:type="dxa" w:w="60"/>
              <w:left w:type="dxa" w:w="100"/>
              <w:bottom w:type="dxa" w:w="60"/>
              <w:right w:type="dxa" w:w="100"/>
            </w:tcMar>
            <w:vAlign w:val="top"/>
          </w:tcPr>
          <w:p>
            <w:pPr>
              <w:spacing w:after="0"/>
            </w:pPr>
            <w:r>
              <w:rPr>
                <w:rFonts w:ascii="Arial" w:cs="Arial" w:eastAsia="Arial" w:hAnsi="Arial"/>
                <w:color w:val="FFFFFF"/>
                <w:sz w:val="20"/>
                <w:szCs w:val="20"/>
              </w:rPr>
              <w:t xml:space="preserve">Complexity</w:t>
            </w:r>
          </w:p>
        </w:tc>
        <w:tc>
          <w:tcPr>
            <w:tcW w:type="dxa" w:w="4160"/>
            <w:tcBorders>
              <w:top w:val="single" w:color="DDDDDD" w:sz="1"/>
              <w:left w:val="single" w:color="DDDDDD" w:sz="1"/>
              <w:bottom w:val="single" w:color="DDDDDD" w:sz="1"/>
              <w:right w:val="single" w:color="DDDDDD" w:sz="1"/>
            </w:tcBorders>
            <w:shd w:fill="2B4C7E" w:val="clear"/>
            <w:tcMar>
              <w:top w:type="dxa" w:w="60"/>
              <w:left w:type="dxa" w:w="100"/>
              <w:bottom w:type="dxa" w:w="60"/>
              <w:right w:type="dxa" w:w="100"/>
            </w:tcMar>
            <w:vAlign w:val="top"/>
          </w:tcPr>
          <w:p>
            <w:pPr>
              <w:spacing w:after="0"/>
            </w:pPr>
            <w:r>
              <w:rPr>
                <w:rFonts w:ascii="Arial" w:cs="Arial" w:eastAsia="Arial" w:hAnsi="Arial"/>
                <w:color w:val="FFFFFF"/>
                <w:sz w:val="20"/>
                <w:szCs w:val="20"/>
              </w:rPr>
              <w:t xml:space="preserve">Purpose</w:t>
            </w:r>
          </w:p>
        </w:tc>
      </w:tr>
      <w:tr>
        <w:tc>
          <w:tcPr>
            <w:tcW w:type="dxa" w:w="20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Calendar Integration</w:t>
            </w:r>
          </w:p>
        </w:tc>
        <w:tc>
          <w:tcPr>
            <w:tcW w:type="dxa" w:w="18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6 of 8 models require it</w:t>
            </w:r>
          </w:p>
        </w:tc>
        <w:tc>
          <w:tcPr>
            <w:tcW w:type="dxa" w:w="14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Trivial</w:t>
            </w:r>
          </w:p>
        </w:tc>
        <w:tc>
          <w:tcPr>
            <w:tcW w:type="dxa" w:w="416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Knowing what the user should be working on and when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Task Tool Integration</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4 of 8 require, 2 optional</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Significant (aggregate)</w:t>
            </w:r>
          </w:p>
        </w:tc>
        <w:tc>
          <w:tcPr>
            <w:tcW w:type="dxa" w:w="4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Read/write access to external task lists</w:t>
            </w:r>
          </w:p>
        </w:tc>
      </w:tr>
      <w:tr>
        <w:tc>
          <w:tcPr>
            <w:tcW w:type="dxa" w:w="20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Non-Shaming Tone Framework</w:t>
            </w:r>
          </w:p>
        </w:tc>
        <w:tc>
          <w:tcPr>
            <w:tcW w:type="dxa" w:w="18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All 8 models require it</w:t>
            </w:r>
          </w:p>
        </w:tc>
        <w:tc>
          <w:tcPr>
            <w:tcW w:type="dxa" w:w="14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Moderate</w:t>
            </w:r>
          </w:p>
        </w:tc>
        <w:tc>
          <w:tcPr>
            <w:tcW w:type="dxa" w:w="416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Every user-facing surface must follow ADHD-appropriate tone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Variability Engine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6 of 8 models require it</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Significant</w:t>
            </w:r>
          </w:p>
        </w:tc>
        <w:tc>
          <w:tcPr>
            <w:tcW w:type="dxa" w:w="4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Any recurring intervention must vary what, when, and how it’s delivered</w:t>
            </w:r>
          </w:p>
        </w:tc>
      </w:tr>
      <w:tr>
        <w:tc>
          <w:tcPr>
            <w:tcW w:type="dxa" w:w="20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On-Device Processing</w:t>
            </w:r>
          </w:p>
        </w:tc>
        <w:tc>
          <w:tcPr>
            <w:tcW w:type="dxa" w:w="18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3 require, 5 optional</w:t>
            </w:r>
          </w:p>
        </w:tc>
        <w:tc>
          <w:tcPr>
            <w:tcW w:type="dxa" w:w="14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Moderate</w:t>
            </w:r>
          </w:p>
        </w:tc>
        <w:tc>
          <w:tcPr>
            <w:tcW w:type="dxa" w:w="416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Privacy-critical for models that monitor activity or read communications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MCP Integration Backbone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4 require, 4 optional</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Moderate</w:t>
            </w:r>
          </w:p>
        </w:tc>
        <w:tc>
          <w:tcPr>
            <w:tcW w:type="dxa" w:w="4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Standardised tool connectivity, reducing integration burden</w:t>
            </w:r>
          </w:p>
        </w:tc>
      </w:tr>
      <w:tr>
        <w:tc>
          <w:tcPr>
            <w:tcW w:type="dxa" w:w="20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Knowledge Graph</w:t>
            </w:r>
          </w:p>
        </w:tc>
        <w:tc>
          <w:tcPr>
            <w:tcW w:type="dxa" w:w="18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2 require, 2 optional</w:t>
            </w:r>
          </w:p>
        </w:tc>
        <w:tc>
          <w:tcPr>
            <w:tcW w:type="dxa" w:w="140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Significant</w:t>
            </w:r>
          </w:p>
        </w:tc>
        <w:tc>
          <w:tcPr>
            <w:tcW w:type="dxa" w:w="4160"/>
            <w:tcBorders>
              <w:top w:val="single" w:color="DDDDDD" w:sz="1"/>
              <w:left w:val="single" w:color="DDDDDD" w:sz="1"/>
              <w:bottom w:val="single" w:color="DDDDDD" w:sz="1"/>
              <w:right w:val="single" w:color="DDDDDD" w:sz="1"/>
            </w:tcBorders>
            <w:shd w:fill="F8FAFC" w:val="clear"/>
            <w:tcMar>
              <w:top w:type="dxa" w:w="60"/>
              <w:left w:type="dxa" w:w="100"/>
              <w:bottom w:type="dxa" w:w="60"/>
              <w:right w:type="dxa" w:w="100"/>
            </w:tcMar>
            <w:vAlign w:val="top"/>
          </w:tcPr>
          <w:p>
            <w:pPr>
              <w:spacing w:after="0"/>
            </w:pPr>
            <w:r>
              <w:rPr>
                <w:rFonts w:ascii="Arial" w:cs="Arial" w:eastAsia="Arial" w:hAnsi="Arial"/>
                <w:color w:val="333333"/>
                <w:sz w:val="20"/>
                <w:szCs w:val="20"/>
              </w:rPr>
              <w:t xml:space="preserve">Entity extraction and relationship mapping for compound value over time</w:t>
            </w:r>
          </w:p>
        </w:tc>
      </w:tr>
    </w:tbl>
    <w:p>
      <w:r>
        <w:br w:type="page"/>
      </w:r>
    </w:p>
    <w:p>
      <w:pPr>
        <w:pStyle w:val="Heading1"/>
        <w:spacing w:before="360" w:after="200"/>
      </w:pPr>
      <w:r>
        <w:rPr>
          <w:rFonts w:ascii="Arial" w:cs="Arial" w:eastAsia="Arial" w:hAnsi="Arial"/>
          <w:b/>
          <w:bCs/>
          <w:color w:val="2B4C7E"/>
          <w:sz w:val="32"/>
          <w:szCs w:val="32"/>
        </w:rPr>
        <w:t xml:space="preserve">4. Narrative Threads</w:t>
      </w:r>
    </w:p>
    <w:p>
      <w:pPr>
        <w:spacing w:after="160" w:line="300"/>
      </w:pPr>
      <w:r>
        <w:rPr>
          <w:rFonts w:ascii="Arial" w:cs="Arial" w:eastAsia="Arial" w:hAnsi="Arial"/>
          <w:i/>
          <w:iCs/>
          <w:color w:val="999999"/>
          <w:sz w:val="21"/>
          <w:szCs w:val="21"/>
        </w:rPr>
        <w:t xml:space="preserve">These are stories the data tells. Each traces a path through the system of record. They are starting points for team conversation, not conclusions.</w:t>
      </w:r>
    </w:p>
    <w:p>
      <w:pPr>
        <w:pStyle w:val="Heading2"/>
        <w:spacing w:before="280" w:after="160"/>
      </w:pPr>
      <w:r>
        <w:rPr>
          <w:rFonts w:ascii="Arial" w:cs="Arial" w:eastAsia="Arial" w:hAnsi="Arial"/>
          <w:b/>
          <w:bCs/>
          <w:color w:val="5B7FA5"/>
          <w:sz w:val="26"/>
          <w:szCs w:val="26"/>
        </w:rPr>
        <w:t xml:space="preserve">Thread 1: The Bootstrapping Problem</w:t>
      </w:r>
    </w:p>
    <w:p>
      <w:pPr>
        <w:spacing w:after="160" w:line="300"/>
      </w:pPr>
      <w:r>
        <w:rPr>
          <w:rFonts w:ascii="Arial" w:cs="Arial" w:eastAsia="Arial" w:hAnsi="Arial"/>
          <w:color w:val="333333"/>
          <w:sz w:val="21"/>
          <w:szCs w:val="21"/>
        </w:rPr>
        <w:t xml:space="preserve">Every ADHD productivity tool shares a structural contradiction: it requires the user to engage using the very cognitive functions the tool compensates for. You must remember to use the tool that helps you remember. You must initiate use of the tool that helps you initiate.</w:t>
      </w:r>
    </w:p>
    <w:p>
      <w:pPr>
        <w:spacing w:after="160" w:line="300"/>
      </w:pPr>
      <w:r>
        <w:rPr>
          <w:rFonts w:ascii="Arial" w:cs="Arial" w:eastAsia="Arial" w:hAnsi="Arial"/>
          <w:color w:val="333333"/>
          <w:sz w:val="21"/>
          <w:szCs w:val="21"/>
        </w:rPr>
        <w:t xml:space="preserve">The evidence suggests this is structural rather than a design flaw. The research describes it as “circular dependency” (MC2), tracing to Prospective Memory Failure (MECH03): the neurological process of forgetting intentions is the same process that causes users to forget the tool exists. Whether this can be asymptotically reduced through design or is truly irreducible is an open question.</w:t>
      </w:r>
    </w:p>
    <w:p>
      <w:pPr>
        <w:spacing w:after="160" w:line="300"/>
      </w:pPr>
      <w:r>
        <w:rPr>
          <w:rFonts w:ascii="Arial" w:cs="Arial" w:eastAsia="Arial" w:hAnsi="Arial"/>
          <w:color w:val="333333"/>
          <w:sz w:val="21"/>
          <w:szCs w:val="21"/>
        </w:rPr>
        <w:t xml:space="preserve">The engagement models that most directly avoid this trap are those that don’t require user initiation: Ambient Monitor (always watching), Passive Capture (always recording), and Periodic Injection (always pushing). Other models face a harder version of this problem, though the degree varies.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B4C7E" w:sz="6"/>
              <w:bottom w:val="single" w:color="DDDDDD" w:sz="1"/>
              <w:right w:val="single" w:color="DDDDDD" w:sz="1"/>
            </w:tcBorders>
            <w:shd w:fill="F5F5F5" w:val="clear"/>
            <w:tcMar>
              <w:top w:type="dxa" w:w="120"/>
              <w:left w:type="dxa" w:w="200"/>
              <w:bottom w:type="dxa" w:w="120"/>
              <w:right w:type="dxa" w:w="200"/>
            </w:tcMar>
          </w:tcPr>
          <w:p>
            <w:pPr>
              <w:spacing w:after="0"/>
            </w:pPr>
            <w:r>
              <w:rPr>
                <w:rFonts w:ascii="Arial" w:cs="Arial" w:eastAsia="Arial" w:hAnsi="Arial"/>
                <w:i/>
                <w:iCs/>
                <w:color w:val="333333"/>
                <w:sz w:val="21"/>
                <w:szCs w:val="21"/>
              </w:rPr>
              <w:t xml:space="preserve">One reading of the universal “app graveyard”: it may be less about tools being bad and more about user-initiated models facing a structural mismatch with the population they serve. This is an interpretation, not a proven explanation.</w:t>
            </w:r>
          </w:p>
        </w:tc>
      </w:tr>
    </w:tbl>
    <w:p>
      <w:pPr>
        <w:pStyle w:val="Heading2"/>
        <w:spacing w:before="280" w:after="160"/>
      </w:pPr>
      <w:r>
        <w:rPr>
          <w:rFonts w:ascii="Arial" w:cs="Arial" w:eastAsia="Arial" w:hAnsi="Arial"/>
          <w:b/>
          <w:bCs/>
          <w:color w:val="5B7FA5"/>
          <w:sz w:val="26"/>
          <w:szCs w:val="26"/>
        </w:rPr>
        <w:t xml:space="preserve">Thread 2: The Medication Baseline</w:t>
      </w:r>
    </w:p>
    <w:p>
      <w:pPr>
        <w:spacing w:after="160" w:line="300"/>
      </w:pPr>
      <w:r>
        <w:rPr>
          <w:rFonts w:ascii="Arial" w:cs="Arial" w:eastAsia="Arial" w:hAnsi="Arial"/>
          <w:color w:val="333333"/>
          <w:sz w:val="21"/>
          <w:szCs w:val="21"/>
        </w:rPr>
        <w:t xml:space="preserve">ADHD medication is among the most evidence-based interventions available — 80+ years of research, clinical infrastructure, engineered to address the neurological deficits directly. Yet average adherence is 56%, and 50–70% of patients discontinue within the first year.</w:t>
      </w:r>
    </w:p>
    <w:p>
      <w:pPr>
        <w:spacing w:after="160" w:line="300"/>
      </w:pPr>
      <w:r>
        <w:rPr>
          <w:rFonts w:ascii="Arial" w:cs="Arial" w:eastAsia="Arial" w:hAnsi="Arial"/>
          <w:color w:val="333333"/>
          <w:sz w:val="21"/>
          <w:szCs w:val="21"/>
        </w:rPr>
        <w:t xml:space="preserve">If this intervention struggles to sustain engagement, digital tools face a similar or greater challenge. Any retention claim for a digital product that assumes better performance than medication warrants scrutiny.</w:t>
      </w:r>
    </w:p>
    <w:p>
      <w:pPr>
        <w:spacing w:after="160" w:line="300"/>
      </w:pPr>
      <w:r>
        <w:rPr>
          <w:rFonts w:ascii="Arial" w:cs="Arial" w:eastAsia="Arial" w:hAnsi="Arial"/>
          <w:color w:val="333333"/>
          <w:sz w:val="21"/>
          <w:szCs w:val="21"/>
        </w:rPr>
        <w:t xml:space="preserve">This reframes the retention question entirely. Instead of asking “how do we achieve long-term retention?” the more honest question is “how do we deliver value assuming poor retention?” Two patterns emerge from the data:</w:t>
      </w:r>
    </w:p>
    <w:p>
      <w:pPr>
        <w:pStyle w:val="ListParagraph"/>
        <w:numPr>
          <w:ilvl w:val="0"/>
          <w:numId w:val="2"/>
        </w:numPr>
        <w:spacing w:after="80" w:line="300"/>
      </w:pPr>
      <w:r>
        <w:rPr>
          <w:rFonts w:ascii="Arial" w:cs="Arial" w:eastAsia="Arial" w:hAnsi="Arial"/>
          <w:b/>
          <w:bCs/>
          <w:color w:val="333333"/>
          <w:sz w:val="21"/>
          <w:szCs w:val="21"/>
        </w:rPr>
        <w:t xml:space="preserve">Compound value: </w:t>
      </w:r>
      <w:r>
        <w:rPr>
          <w:rFonts w:ascii="Arial" w:cs="Arial" w:eastAsia="Arial" w:hAnsi="Arial"/>
          <w:color w:val="333333"/>
          <w:sz w:val="21"/>
          <w:szCs w:val="21"/>
        </w:rPr>
        <w:t xml:space="preserve">models that become more valuable over time (Passive Capture’s knowledge graph, Calibration Loop’s data) create switching cost that counteracts the impulse to abandon.</w:t>
      </w:r>
    </w:p>
    <w:p>
      <w:pPr>
        <w:pStyle w:val="ListParagraph"/>
        <w:numPr>
          <w:ilvl w:val="0"/>
          <w:numId w:val="2"/>
        </w:numPr>
        <w:spacing w:after="80" w:line="300"/>
      </w:pPr>
      <w:r>
        <w:rPr>
          <w:rFonts w:ascii="Arial" w:cs="Arial" w:eastAsia="Arial" w:hAnsi="Arial"/>
          <w:b/>
          <w:bCs/>
          <w:color w:val="333333"/>
          <w:sz w:val="21"/>
          <w:szCs w:val="21"/>
        </w:rPr>
        <w:t xml:space="preserve">Front-loaded value: </w:t>
      </w:r>
      <w:r>
        <w:rPr>
          <w:rFonts w:ascii="Arial" w:cs="Arial" w:eastAsia="Arial" w:hAnsi="Arial"/>
          <w:color w:val="333333"/>
          <w:sz w:val="21"/>
          <w:szCs w:val="21"/>
        </w:rPr>
        <w:t xml:space="preserve">models that deliver their core value immediately (On-Demand Scaffolding, Modality Shift) aren’t hurt by sporadic use because each interaction is independently valuable.</w:t>
      </w:r>
    </w:p>
    <w:p>
      <w:pPr>
        <w:pStyle w:val="Heading2"/>
        <w:spacing w:before="280" w:after="160"/>
      </w:pPr>
      <w:r>
        <w:rPr>
          <w:rFonts w:ascii="Arial" w:cs="Arial" w:eastAsia="Arial" w:hAnsi="Arial"/>
          <w:b/>
          <w:bCs/>
          <w:color w:val="5B7FA5"/>
          <w:sz w:val="26"/>
          <w:szCs w:val="26"/>
        </w:rPr>
        <w:t xml:space="preserve">Thread 3: The Practitioner-Product Paradox</w:t>
      </w:r>
    </w:p>
    <w:p>
      <w:pPr>
        <w:spacing w:after="160" w:line="300"/>
      </w:pPr>
      <w:r>
        <w:rPr>
          <w:rFonts w:ascii="Arial" w:cs="Arial" w:eastAsia="Arial" w:hAnsi="Arial"/>
          <w:color w:val="333333"/>
          <w:sz w:val="21"/>
          <w:szCs w:val="21"/>
        </w:rPr>
        <w:t xml:space="preserve">In the practitioner evidence, structured check-in (daily planning rituals, guided routines) is the most commonly recommended approach. In the meta-challenge analysis, it has the most high vulnerabilities of any engagement model: 3 out of 5.</w:t>
      </w:r>
    </w:p>
    <w:p>
      <w:pPr>
        <w:spacing w:after="160" w:line="300"/>
      </w:pPr>
      <w:r>
        <w:rPr>
          <w:rFonts w:ascii="Arial" w:cs="Arial" w:eastAsia="Arial" w:hAnsi="Arial"/>
          <w:color w:val="333333"/>
          <w:sz w:val="21"/>
          <w:szCs w:val="21"/>
        </w:rPr>
        <w:t xml:space="preserve">One explanation for this gap: practitioners provide external accountability that makes check-ins work. The practitioner serves as the bootstrapping mechanism (they remind you), the shame regulator (they normalise lapses), and the novelty source (human interaction may not habituate the same way as software). Software has not yet demonstrated an ability to replicate these functions, though that doesn’t mean it can’t.</w:t>
      </w:r>
    </w:p>
    <w:p>
      <w:pPr>
        <w:spacing w:after="160" w:line="300"/>
      </w:pPr>
      <w:r>
        <w:rPr>
          <w:rFonts w:ascii="Arial" w:cs="Arial" w:eastAsia="Arial" w:hAnsi="Arial"/>
          <w:color w:val="333333"/>
          <w:sz w:val="21"/>
          <w:szCs w:val="21"/>
        </w:rPr>
        <w:t xml:space="preserve">If this explanation holds, a pure software check-in product faces the same structural vulnerabilities that drive the “app graveyard” pattern. Structured check-in may be more viable when combined with human elements (coaching, community) or layered on a passive foundation — but this is inference, not observed evidence.</w:t>
      </w:r>
    </w:p>
    <w:p>
      <w:pPr>
        <w:pStyle w:val="Heading2"/>
        <w:spacing w:before="280" w:after="160"/>
      </w:pPr>
      <w:r>
        <w:rPr>
          <w:rFonts w:ascii="Arial" w:cs="Arial" w:eastAsia="Arial" w:hAnsi="Arial"/>
          <w:b/>
          <w:bCs/>
          <w:color w:val="5B7FA5"/>
          <w:sz w:val="26"/>
          <w:szCs w:val="26"/>
        </w:rPr>
        <w:t xml:space="preserve">Thread 4: The Lowest-Risk Starting Point</w:t>
      </w:r>
    </w:p>
    <w:p>
      <w:pPr>
        <w:spacing w:after="160" w:line="300"/>
      </w:pPr>
      <w:r>
        <w:rPr>
          <w:rFonts w:ascii="Arial" w:cs="Arial" w:eastAsia="Arial" w:hAnsi="Arial"/>
          <w:color w:val="333333"/>
          <w:sz w:val="21"/>
          <w:szCs w:val="21"/>
        </w:rPr>
        <w:t xml:space="preserve">If risk minimisation is the objective, the structural analysis identifies a cluster with a favourable profile: meeting memory (FP07) and email management (FP09). In our analysis, this cluster has:</w:t>
      </w:r>
    </w:p>
    <w:p>
      <w:pPr>
        <w:pStyle w:val="ListParagraph"/>
        <w:numPr>
          <w:ilvl w:val="0"/>
          <w:numId w:val="2"/>
        </w:numPr>
        <w:spacing w:after="80" w:line="300"/>
      </w:pPr>
      <w:r>
        <w:rPr>
          <w:rFonts w:ascii="Arial" w:cs="Arial" w:eastAsia="Arial" w:hAnsi="Arial"/>
          <w:color w:val="333333"/>
          <w:sz w:val="21"/>
          <w:szCs w:val="21"/>
        </w:rPr>
        <w:t xml:space="preserve">Relatively robust clinical evidence (Tier 1 encoding and prospective memory data)</w:t>
      </w:r>
    </w:p>
    <w:p>
      <w:pPr>
        <w:pStyle w:val="ListParagraph"/>
        <w:numPr>
          <w:ilvl w:val="0"/>
          <w:numId w:val="2"/>
        </w:numPr>
        <w:spacing w:after="80" w:line="300"/>
      </w:pPr>
      <w:r>
        <w:rPr>
          <w:rFonts w:ascii="Arial" w:cs="Arial" w:eastAsia="Arial" w:hAnsi="Arial"/>
          <w:color w:val="333333"/>
          <w:sz w:val="21"/>
          <w:szCs w:val="21"/>
        </w:rPr>
        <w:t xml:space="preserve">No ADHD-specific tools identified in our research</w:t>
      </w:r>
    </w:p>
    <w:p>
      <w:pPr>
        <w:pStyle w:val="ListParagraph"/>
        <w:numPr>
          <w:ilvl w:val="0"/>
          <w:numId w:val="2"/>
        </w:numPr>
        <w:spacing w:after="80" w:line="300"/>
      </w:pPr>
      <w:r>
        <w:rPr>
          <w:rFonts w:ascii="Arial" w:cs="Arial" w:eastAsia="Arial" w:hAnsi="Arial"/>
          <w:color w:val="333333"/>
          <w:sz w:val="21"/>
          <w:szCs w:val="21"/>
        </w:rPr>
        <w:t xml:space="preserve">The engagement model with the fewest high meta-challenge vulnerabilities in our analysis (Passive Capture, 0 high)</w:t>
      </w:r>
    </w:p>
    <w:p>
      <w:pPr>
        <w:pStyle w:val="ListParagraph"/>
        <w:numPr>
          <w:ilvl w:val="0"/>
          <w:numId w:val="2"/>
        </w:numPr>
        <w:spacing w:after="80" w:line="300"/>
      </w:pPr>
      <w:r>
        <w:rPr>
          <w:rFonts w:ascii="Arial" w:cs="Arial" w:eastAsia="Arial" w:hAnsi="Arial"/>
          <w:color w:val="333333"/>
          <w:sz w:val="21"/>
          <w:szCs w:val="21"/>
        </w:rPr>
        <w:t xml:space="preserve">The lowest user behaviour requirement (zero effort — the product works in the background)</w:t>
      </w:r>
    </w:p>
    <w:p>
      <w:pPr>
        <w:spacing w:after="160" w:line="300"/>
      </w:pPr>
      <w:r>
        <w:rPr>
          <w:rFonts w:ascii="Arial" w:cs="Arial" w:eastAsia="Arial" w:hAnsi="Arial"/>
          <w:color w:val="333333"/>
          <w:sz w:val="21"/>
          <w:szCs w:val="21"/>
        </w:rPr>
        <w:t xml:space="preserve">The tradeoff is narrow applicability: this cluster addresses only 2 of 13 documented problems. The highest-demand problem (task initiation) maps to the most complex model (Ambient Monitor) with the highest privacy requirements and an unresolved detection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B4C7E" w:sz="6"/>
              <w:bottom w:val="single" w:color="DDDDDD" w:sz="1"/>
              <w:right w:val="single" w:color="DDDDDD" w:sz="1"/>
            </w:tcBorders>
            <w:shd w:fill="F5F5F5" w:val="clear"/>
            <w:tcMar>
              <w:top w:type="dxa" w:w="120"/>
              <w:left w:type="dxa" w:w="200"/>
              <w:bottom w:type="dxa" w:w="120"/>
              <w:right w:type="dxa" w:w="200"/>
            </w:tcMar>
          </w:tcPr>
          <w:p>
            <w:pPr>
              <w:spacing w:after="0"/>
            </w:pPr>
            <w:r>
              <w:rPr>
                <w:rFonts w:ascii="Arial" w:cs="Arial" w:eastAsia="Arial" w:hAnsi="Arial"/>
                <w:i/>
                <w:iCs/>
                <w:color w:val="333333"/>
                <w:sz w:val="21"/>
                <w:szCs w:val="21"/>
              </w:rPr>
              <w:t xml:space="preserve">In this analysis, the lowest-risk path and the highest-demand path diverge. Whether that tension holds in practice, and how to weigh narrow-but-safe against broad-but-risky, is the team’s decision to make.</w:t>
            </w:r>
          </w:p>
        </w:tc>
      </w:tr>
    </w:tbl>
    <w:p>
      <w:r>
        <w:br w:type="page"/>
      </w:r>
    </w:p>
    <w:p>
      <w:pPr>
        <w:pStyle w:val="Heading1"/>
        <w:spacing w:before="360" w:after="200"/>
      </w:pPr>
      <w:r>
        <w:rPr>
          <w:rFonts w:ascii="Arial" w:cs="Arial" w:eastAsia="Arial" w:hAnsi="Arial"/>
          <w:b/>
          <w:bCs/>
          <w:color w:val="2B4C7E"/>
          <w:sz w:val="32"/>
          <w:szCs w:val="32"/>
        </w:rPr>
        <w:t xml:space="preserve">5. Known Limitations</w:t>
      </w:r>
    </w:p>
    <w:p>
      <w:pPr>
        <w:spacing w:after="160" w:line="300"/>
      </w:pPr>
      <w:r>
        <w:rPr>
          <w:rFonts w:ascii="Arial" w:cs="Arial" w:eastAsia="Arial" w:hAnsi="Arial"/>
          <w:color w:val="333333"/>
          <w:sz w:val="21"/>
          <w:szCs w:val="21"/>
        </w:rPr>
        <w:t xml:space="preserve">The system of record is built on evidence, but the evidence has gaps. The following limitations should inform how confidently the team acts on what’s presented above.</w:t>
      </w:r>
    </w:p>
    <w:p>
      <w:pPr>
        <w:spacing w:before="200" w:after="120"/>
      </w:pPr>
      <w:r>
        <w:rPr>
          <w:rFonts w:ascii="Arial" w:cs="Arial" w:eastAsia="Arial" w:hAnsi="Arial"/>
          <w:b/>
          <w:bCs/>
          <w:color w:val="1A1A2E"/>
          <w:sz w:val="22"/>
          <w:szCs w:val="22"/>
        </w:rPr>
        <w:t xml:space="preserve">What the research doesn’t cover</w:t>
      </w:r>
    </w:p>
    <w:p>
      <w:pPr>
        <w:pStyle w:val="ListParagraph"/>
        <w:numPr>
          <w:ilvl w:val="0"/>
          <w:numId w:val="2"/>
        </w:numPr>
        <w:spacing w:after="80" w:line="300"/>
      </w:pPr>
      <w:r>
        <w:rPr>
          <w:rFonts w:ascii="Arial" w:cs="Arial" w:eastAsia="Arial" w:hAnsi="Arial"/>
          <w:color w:val="333333"/>
          <w:sz w:val="21"/>
          <w:szCs w:val="21"/>
        </w:rPr>
        <w:t xml:space="preserve">ADHD is heterogeneous. Engagement patterns, problem severity, and intervention response vary by subtype, comorbidity profile, medication status, and job type. All claims in the system are averages across a heterogeneous population.</w:t>
      </w:r>
    </w:p>
    <w:p>
      <w:pPr>
        <w:pStyle w:val="ListParagraph"/>
        <w:numPr>
          <w:ilvl w:val="0"/>
          <w:numId w:val="2"/>
        </w:numPr>
        <w:spacing w:after="80" w:line="300"/>
      </w:pPr>
      <w:r>
        <w:rPr>
          <w:rFonts w:ascii="Arial" w:cs="Arial" w:eastAsia="Arial" w:hAnsi="Arial"/>
          <w:color w:val="333333"/>
          <w:sz w:val="21"/>
          <w:szCs w:val="21"/>
        </w:rPr>
        <w:t xml:space="preserve">The clinical literature focuses on impairment, not on what works. There is strong evidence for what goes wrong and why, but much weaker evidence for what interventions succeed in workplace contexts specifically.</w:t>
      </w:r>
    </w:p>
    <w:p>
      <w:pPr>
        <w:spacing w:before="200" w:after="120"/>
      </w:pPr>
      <w:r>
        <w:rPr>
          <w:rFonts w:ascii="Arial" w:cs="Arial" w:eastAsia="Arial" w:hAnsi="Arial"/>
          <w:b/>
          <w:bCs/>
          <w:color w:val="1A1A2E"/>
          <w:sz w:val="22"/>
          <w:szCs w:val="22"/>
        </w:rPr>
        <w:t xml:space="preserve">Where evidence is weakest</w:t>
      </w:r>
    </w:p>
    <w:p>
      <w:pPr>
        <w:pStyle w:val="ListParagraph"/>
        <w:numPr>
          <w:ilvl w:val="0"/>
          <w:numId w:val="2"/>
        </w:numPr>
        <w:spacing w:after="80" w:line="300"/>
      </w:pPr>
      <w:r>
        <w:rPr>
          <w:rFonts w:ascii="Arial" w:cs="Arial" w:eastAsia="Arial" w:hAnsi="Arial"/>
          <w:color w:val="333333"/>
          <w:sz w:val="21"/>
          <w:szCs w:val="21"/>
        </w:rPr>
        <w:t xml:space="preserve">Retention predictions for engagement models are structural inferences, not observed data. The only empirically supported retention finding is negative: structured check-in models are abandoned. Positive claims about other models need testing.</w:t>
      </w:r>
    </w:p>
    <w:p>
      <w:pPr>
        <w:pStyle w:val="ListParagraph"/>
        <w:numPr>
          <w:ilvl w:val="0"/>
          <w:numId w:val="2"/>
        </w:numPr>
        <w:spacing w:after="80" w:line="300"/>
      </w:pPr>
      <w:r>
        <w:rPr>
          <w:rFonts w:ascii="Arial" w:cs="Arial" w:eastAsia="Arial" w:hAnsi="Arial"/>
          <w:color w:val="333333"/>
          <w:sz w:val="21"/>
          <w:szCs w:val="21"/>
        </w:rPr>
        <w:t xml:space="preserve">Emotional dysregulation (MECH06) is supported by practitioner evidence but is not directly present in the clinical EF mediation analyses. It may be under-weighted or under-specified.</w:t>
      </w:r>
    </w:p>
    <w:p>
      <w:pPr>
        <w:spacing w:before="200" w:after="120"/>
      </w:pPr>
      <w:r>
        <w:rPr>
          <w:rFonts w:ascii="Arial" w:cs="Arial" w:eastAsia="Arial" w:hAnsi="Arial"/>
          <w:b/>
          <w:bCs/>
          <w:color w:val="1A1A2E"/>
          <w:sz w:val="22"/>
          <w:szCs w:val="22"/>
        </w:rPr>
        <w:t xml:space="preserve">What should be tested, not assumed</w:t>
      </w:r>
    </w:p>
    <w:p>
      <w:pPr>
        <w:pStyle w:val="ListParagraph"/>
        <w:numPr>
          <w:ilvl w:val="0"/>
          <w:numId w:val="2"/>
        </w:numPr>
        <w:spacing w:after="80" w:line="300"/>
      </w:pPr>
      <w:r>
        <w:rPr>
          <w:rFonts w:ascii="Arial" w:cs="Arial" w:eastAsia="Arial" w:hAnsi="Arial"/>
          <w:color w:val="333333"/>
          <w:sz w:val="21"/>
          <w:szCs w:val="21"/>
        </w:rPr>
        <w:t xml:space="preserve">Whether passive capture’s theoretical retention advantage holds in practice with ADHD users specifically</w:t>
      </w:r>
    </w:p>
    <w:p>
      <w:pPr>
        <w:pStyle w:val="ListParagraph"/>
        <w:numPr>
          <w:ilvl w:val="0"/>
          <w:numId w:val="2"/>
        </w:numPr>
        <w:spacing w:after="80" w:line="300"/>
      </w:pPr>
      <w:r>
        <w:rPr>
          <w:rFonts w:ascii="Arial" w:cs="Arial" w:eastAsia="Arial" w:hAnsi="Arial"/>
          <w:color w:val="333333"/>
          <w:sz w:val="21"/>
          <w:szCs w:val="21"/>
        </w:rPr>
        <w:t xml:space="preserve">Whether the “ambient presence” pattern (embedding in existing workflows) actually resolves the push-pull tension or simply delays notification fatigue</w:t>
      </w:r>
    </w:p>
    <w:p>
      <w:pPr>
        <w:pStyle w:val="ListParagraph"/>
        <w:numPr>
          <w:ilvl w:val="0"/>
          <w:numId w:val="2"/>
        </w:numPr>
        <w:spacing w:after="80" w:line="300"/>
      </w:pPr>
      <w:r>
        <w:rPr>
          <w:rFonts w:ascii="Arial" w:cs="Arial" w:eastAsia="Arial" w:hAnsi="Arial"/>
          <w:color w:val="333333"/>
          <w:sz w:val="21"/>
          <w:szCs w:val="21"/>
        </w:rPr>
        <w:t xml:space="preserve">Whether compounding value (knowledge graph growth) creates sufficient switching cost to counteract novelty decay</w:t>
      </w:r>
    </w:p>
    <w:p>
      <w:pPr>
        <w:spacing w:before="200" w:after="120"/>
      </w:pPr>
      <w:r>
        <w:rPr>
          <w:rFonts w:ascii="Arial" w:cs="Arial" w:eastAsia="Arial" w:hAnsi="Arial"/>
          <w:b/>
          <w:bCs/>
          <w:color w:val="1A1A2E"/>
          <w:sz w:val="22"/>
          <w:szCs w:val="22"/>
        </w:rPr>
        <w:t xml:space="preserve">Framework limitations we accepted</w:t>
      </w:r>
    </w:p>
    <w:p>
      <w:pPr>
        <w:pStyle w:val="ListParagraph"/>
        <w:numPr>
          <w:ilvl w:val="0"/>
          <w:numId w:val="2"/>
        </w:numPr>
        <w:spacing w:after="80" w:line="300"/>
      </w:pPr>
      <w:r>
        <w:rPr>
          <w:rFonts w:ascii="Arial" w:cs="Arial" w:eastAsia="Arial" w:hAnsi="Arial"/>
          <w:b/>
          <w:bCs/>
          <w:color w:val="333333"/>
          <w:sz w:val="21"/>
          <w:szCs w:val="21"/>
        </w:rPr>
        <w:t xml:space="preserve">MECH02 may need splitting. </w:t>
      </w:r>
      <w:r>
        <w:rPr>
          <w:rFonts w:ascii="Arial" w:cs="Arial" w:eastAsia="Arial" w:hAnsi="Arial"/>
          <w:color w:val="333333"/>
          <w:sz w:val="21"/>
          <w:szCs w:val="21"/>
        </w:rPr>
        <w:t xml:space="preserve">Reward processing and delay discounting might be separable mechanisms. The source data doesn’t clearly distinguish them. They’re combined for now.</w:t>
      </w:r>
    </w:p>
    <w:p>
      <w:pPr>
        <w:pStyle w:val="ListParagraph"/>
        <w:numPr>
          <w:ilvl w:val="0"/>
          <w:numId w:val="2"/>
        </w:numPr>
        <w:spacing w:after="80" w:line="300"/>
      </w:pPr>
      <w:r>
        <w:rPr>
          <w:rFonts w:ascii="Arial" w:cs="Arial" w:eastAsia="Arial" w:hAnsi="Arial"/>
          <w:b/>
          <w:bCs/>
          <w:color w:val="333333"/>
          <w:sz w:val="21"/>
          <w:szCs w:val="21"/>
        </w:rPr>
        <w:t xml:space="preserve">MECH05 may restate its problem. </w:t>
      </w:r>
      <w:r>
        <w:rPr>
          <w:rFonts w:ascii="Arial" w:cs="Arial" w:eastAsia="Arial" w:hAnsi="Arial"/>
          <w:color w:val="333333"/>
          <w:sz w:val="21"/>
          <w:szCs w:val="21"/>
        </w:rPr>
        <w:t xml:space="preserve">Attention Allocation Dysfunction and Inconsistent Focus overlap significantly. The distinction drawn: the problem is the functional manifestation; the mechanism is the underlying process that also produces hyperfocus. This distinction is acknowledged as thin.</w:t>
      </w:r>
    </w:p>
    <w:p>
      <w:pPr>
        <w:pStyle w:val="ListParagraph"/>
        <w:numPr>
          <w:ilvl w:val="0"/>
          <w:numId w:val="2"/>
        </w:numPr>
        <w:spacing w:after="80" w:line="300"/>
      </w:pPr>
      <w:r>
        <w:rPr>
          <w:rFonts w:ascii="Arial" w:cs="Arial" w:eastAsia="Arial" w:hAnsi="Arial"/>
          <w:b/>
          <w:bCs/>
          <w:color w:val="333333"/>
          <w:sz w:val="21"/>
          <w:szCs w:val="21"/>
        </w:rPr>
        <w:t xml:space="preserve">MC1 and MC5 overlap. </w:t>
      </w:r>
      <w:r>
        <w:rPr>
          <w:rFonts w:ascii="Arial" w:cs="Arial" w:eastAsia="Arial" w:hAnsi="Arial"/>
          <w:color w:val="333333"/>
          <w:sz w:val="21"/>
          <w:szCs w:val="21"/>
        </w:rPr>
        <w:t xml:space="preserve">Novelty Decay and Notification Desensitisation trace to the same habituation process at different scales. They’re kept separate because they operate on different dimensions, but the shared root is explicit in the data.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ADHD at Work — Research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4C7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5B7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2026-02-11T16:59:47.081Z</dcterms:created>
  <dcterms:modified xsi:type="dcterms:W3CDTF">2026-02-11T16:59:47.081Z</dcterms:modified>
</cp:coreProperties>
</file>

<file path=docProps/custom.xml><?xml version="1.0" encoding="utf-8"?>
<Properties xmlns="http://schemas.openxmlformats.org/officeDocument/2006/custom-properties" xmlns:vt="http://schemas.openxmlformats.org/officeDocument/2006/docPropsVTypes"/>
</file>