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79"/>
          <w:sz w:val="56"/>
          <w:szCs w:val="56"/>
        </w:rPr>
        <w:t xml:space="preserve">USB SuperSpeed Protocol</w:t>
      </w:r>
    </w:p>
    <w:p>
      <w:pPr>
        <w:spacing w:after="100" w:before="200"/>
        <w:jc w:val="center"/>
      </w:pPr>
      <w:r>
        <w:rPr>
          <w:color w:val="333333"/>
          <w:sz w:val="32"/>
          <w:szCs w:val="32"/>
        </w:rPr>
        <w:t xml:space="preserve">A Verification Engineer's Reference Guide</w:t>
      </w:r>
    </w:p>
    <w:p>
      <w:pPr>
        <w:spacing w:after="100" w:before="100"/>
        <w:jc w:val="center"/>
      </w:pPr>
      <w:r>
        <w:rPr>
          <w:i/>
          <w:iCs/>
          <w:color w:val="595959"/>
          <w:sz w:val="22"/>
          <w:szCs w:val="22"/>
        </w:rPr>
        <w:t xml:space="preserve">Link Training · Packet Formats · Enumeration · USB-SSP</w:t>
      </w:r>
    </w:p>
    <w:p>
      <w:pPr>
        <w:spacing w:before="1600"/>
        <w:jc w:val="center"/>
      </w:pPr>
      <w:r>
        <w:rPr>
          <w:color w:val="595959"/>
          <w:sz w:val="20"/>
          <w:szCs w:val="20"/>
        </w:rPr>
        <w:t xml:space="preserve">Expanded from internal USB testbench training notes</w:t>
      </w:r>
    </w:p>
    <w:p>
      <w:pPr>
        <w:spacing w:before="100"/>
        <w:jc w:val="center"/>
      </w:pPr>
      <w:r>
        <w:rPr>
          <w:color w:val="595959"/>
          <w:sz w:val="20"/>
          <w:szCs w:val="20"/>
        </w:rPr>
        <w:t xml:space="preserve">September 2026</w:t>
      </w:r>
    </w:p>
    <w:p>
      <w:pPr>
        <w:sectPr>
          <w:pgSz w:w="12240" w:h="15840" w:orient="portrait"/>
          <w:pgMar w:top="1440" w:right="1350" w:bottom="1440" w:left="1350" w:header="708" w:footer="708" w:gutter="0"/>
          <w:pgNumType/>
          <w:docGrid w:linePitch="360"/>
        </w:sectPr>
      </w:pPr>
    </w:p>
    <w:p>
      <w:pPr>
        <w:pStyle w:val="Heading1"/>
        <w:spacing w:after="200" w:before="400"/>
      </w:pPr>
      <w:r>
        <w:t xml:space="preserve">Table of Contents</w:t>
      </w:r>
    </w:p>
    <w:p>
      <w:pPr>
        <w:tabs>
          <w:tab w:val="right" w:pos="9026" w:leader="dot"/>
        </w:tabs>
        <w:spacing w:after="120"/>
        <w:ind w:left="0"/>
      </w:pPr>
      <w:r>
        <w:rPr>
          <w:b/>
          <w:bCs/>
          <w:sz w:val="22"/>
          <w:szCs w:val="22"/>
        </w:rPr>
        <w:t xml:space="preserve">1. Introduction</w:t>
      </w:r>
      <w:r>
        <w:rPr>
          <w:sz w:val="22"/>
          <w:szCs w:val="22"/>
        </w:rPr>
        <w:t xml:space="preserve">	3</w:t>
      </w:r>
    </w:p>
    <w:p>
      <w:pPr>
        <w:tabs>
          <w:tab w:val="right" w:pos="9026" w:leader="dot"/>
        </w:tabs>
        <w:spacing w:after="120"/>
        <w:ind w:left="0"/>
      </w:pPr>
      <w:r>
        <w:rPr>
          <w:b/>
          <w:bCs/>
          <w:sz w:val="22"/>
          <w:szCs w:val="22"/>
        </w:rPr>
        <w:t xml:space="preserve">2. USB Overview</w:t>
      </w:r>
      <w:r>
        <w:rPr>
          <w:sz w:val="22"/>
          <w:szCs w:val="22"/>
        </w:rPr>
        <w:t xml:space="preserve">	3</w:t>
      </w:r>
    </w:p>
    <w:p>
      <w:pPr>
        <w:tabs>
          <w:tab w:val="right" w:pos="9026" w:leader="dot"/>
        </w:tabs>
        <w:spacing w:after="120"/>
        <w:ind w:left="0"/>
      </w:pPr>
      <w:r>
        <w:rPr>
          <w:b/>
          <w:bCs/>
          <w:sz w:val="22"/>
          <w:szCs w:val="22"/>
        </w:rPr>
        <w:t xml:space="preserve">3. Host-Side Test Environment</w:t>
      </w:r>
      <w:r>
        <w:rPr>
          <w:sz w:val="22"/>
          <w:szCs w:val="22"/>
        </w:rPr>
        <w:t xml:space="preserve">	3</w:t>
      </w:r>
    </w:p>
    <w:p>
      <w:pPr>
        <w:tabs>
          <w:tab w:val="right" w:pos="9026" w:leader="dot"/>
        </w:tabs>
        <w:spacing w:after="120"/>
        <w:ind w:left="0"/>
      </w:pPr>
      <w:r>
        <w:rPr>
          <w:b/>
          <w:bCs/>
          <w:sz w:val="22"/>
          <w:szCs w:val="22"/>
        </w:rPr>
        <w:t xml:space="preserve">4. Link Training and the Physical Layer</w:t>
      </w:r>
      <w:r>
        <w:rPr>
          <w:sz w:val="22"/>
          <w:szCs w:val="22"/>
        </w:rPr>
        <w:t xml:space="preserve">	4</w:t>
      </w:r>
    </w:p>
    <w:p>
      <w:pPr>
        <w:tabs>
          <w:tab w:val="right" w:pos="9026" w:leader="dot"/>
        </w:tabs>
        <w:spacing w:after="120"/>
        <w:ind w:left="0"/>
      </w:pPr>
      <w:r>
        <w:rPr>
          <w:b/>
          <w:bCs/>
          <w:sz w:val="22"/>
          <w:szCs w:val="22"/>
        </w:rPr>
        <w:t xml:space="preserve">5. Link Commands and Flow Control</w:t>
      </w:r>
      <w:r>
        <w:rPr>
          <w:sz w:val="22"/>
          <w:szCs w:val="22"/>
        </w:rPr>
        <w:t xml:space="preserve">	5</w:t>
      </w:r>
    </w:p>
    <w:p>
      <w:pPr>
        <w:tabs>
          <w:tab w:val="right" w:pos="9026" w:leader="dot"/>
        </w:tabs>
        <w:spacing w:after="120"/>
        <w:ind w:left="0"/>
      </w:pPr>
      <w:r>
        <w:rPr>
          <w:b/>
          <w:bCs/>
          <w:sz w:val="22"/>
          <w:szCs w:val="22"/>
        </w:rPr>
        <w:t xml:space="preserve">6. Packet Types on the SuperSpeed Bus</w:t>
      </w:r>
      <w:r>
        <w:rPr>
          <w:sz w:val="22"/>
          <w:szCs w:val="22"/>
        </w:rPr>
        <w:t xml:space="preserve">	5</w:t>
      </w:r>
    </w:p>
    <w:p>
      <w:pPr>
        <w:tabs>
          <w:tab w:val="right" w:pos="9026" w:leader="dot"/>
        </w:tabs>
        <w:spacing w:after="120"/>
        <w:ind w:left="0"/>
      </w:pPr>
      <w:r>
        <w:rPr>
          <w:b/>
          <w:bCs/>
          <w:sz w:val="22"/>
          <w:szCs w:val="22"/>
        </w:rPr>
        <w:t xml:space="preserve">7. Packet Deep Dives</w:t>
      </w:r>
      <w:r>
        <w:rPr>
          <w:sz w:val="22"/>
          <w:szCs w:val="22"/>
        </w:rPr>
        <w:t xml:space="preserve">	6</w:t>
      </w:r>
    </w:p>
    <w:p>
      <w:pPr>
        <w:tabs>
          <w:tab w:val="right" w:pos="9026" w:leader="dot"/>
        </w:tabs>
        <w:spacing w:after="120"/>
        <w:ind w:left="0"/>
      </w:pPr>
      <w:r>
        <w:rPr>
          <w:b/>
          <w:bCs/>
          <w:sz w:val="22"/>
          <w:szCs w:val="22"/>
        </w:rPr>
        <w:t xml:space="preserve">8. Routing and Byte-Level Transfer</w:t>
      </w:r>
      <w:r>
        <w:rPr>
          <w:sz w:val="22"/>
          <w:szCs w:val="22"/>
        </w:rPr>
        <w:t xml:space="preserve">	7</w:t>
      </w:r>
    </w:p>
    <w:p>
      <w:pPr>
        <w:tabs>
          <w:tab w:val="right" w:pos="9026" w:leader="dot"/>
        </w:tabs>
        <w:spacing w:after="120"/>
        <w:ind w:left="0"/>
      </w:pPr>
      <w:r>
        <w:rPr>
          <w:b/>
          <w:bCs/>
          <w:sz w:val="22"/>
          <w:szCs w:val="22"/>
        </w:rPr>
        <w:t xml:space="preserve">9. USB Control Transfers: Device Enumeration Walkthrough</w:t>
      </w:r>
      <w:r>
        <w:rPr>
          <w:sz w:val="22"/>
          <w:szCs w:val="22"/>
        </w:rPr>
        <w:t xml:space="preserve">	8</w:t>
      </w:r>
    </w:p>
    <w:p>
      <w:pPr>
        <w:tabs>
          <w:tab w:val="right" w:pos="9026" w:leader="dot"/>
        </w:tabs>
        <w:spacing w:after="120"/>
        <w:ind w:left="0"/>
      </w:pPr>
      <w:r>
        <w:rPr>
          <w:b/>
          <w:bCs/>
          <w:sz w:val="22"/>
          <w:szCs w:val="22"/>
        </w:rPr>
        <w:t xml:space="preserve">10. xHCI Firmware Implementation: TRBs, Rings, and Contexts</w:t>
      </w:r>
      <w:r>
        <w:rPr>
          <w:sz w:val="22"/>
          <w:szCs w:val="22"/>
        </w:rPr>
        <w:t xml:space="preserve">	10</w:t>
      </w:r>
    </w:p>
    <w:p>
      <w:pPr>
        <w:tabs>
          <w:tab w:val="right" w:pos="9026" w:leader="dot"/>
        </w:tabs>
        <w:spacing w:after="120"/>
        <w:ind w:left="0"/>
      </w:pPr>
      <w:r>
        <w:rPr>
          <w:b/>
          <w:bCs/>
          <w:sz w:val="22"/>
          <w:szCs w:val="22"/>
        </w:rPr>
        <w:t xml:space="preserve">11. USB-SSP (SuperSpeed Plus)</w:t>
      </w:r>
      <w:r>
        <w:rPr>
          <w:sz w:val="22"/>
          <w:szCs w:val="22"/>
        </w:rPr>
        <w:t xml:space="preserve">	11</w:t>
      </w:r>
    </w:p>
    <w:p>
      <w:pPr>
        <w:tabs>
          <w:tab w:val="right" w:pos="9026" w:leader="dot"/>
        </w:tabs>
        <w:spacing w:after="120"/>
        <w:ind w:left="0"/>
      </w:pPr>
      <w:r>
        <w:rPr>
          <w:b/>
          <w:bCs/>
          <w:sz w:val="22"/>
          <w:szCs w:val="22"/>
        </w:rPr>
        <w:t xml:space="preserve">12. Verification Checklist and Common Bug Patterns</w:t>
      </w:r>
      <w:r>
        <w:rPr>
          <w:sz w:val="22"/>
          <w:szCs w:val="22"/>
        </w:rPr>
        <w:t xml:space="preserve">	12</w:t>
      </w:r>
    </w:p>
    <w:p>
      <w:pPr>
        <w:tabs>
          <w:tab w:val="right" w:pos="9026" w:leader="dot"/>
        </w:tabs>
        <w:spacing w:after="120"/>
        <w:ind w:left="0"/>
      </w:pPr>
      <w:r>
        <w:rPr>
          <w:b/>
          <w:bCs/>
          <w:sz w:val="22"/>
          <w:szCs w:val="22"/>
        </w:rPr>
        <w:t xml:space="preserve">13. Verification Infrastructure: Reference Parsers</w:t>
      </w:r>
      <w:r>
        <w:rPr>
          <w:sz w:val="22"/>
          <w:szCs w:val="22"/>
        </w:rPr>
        <w:t xml:space="preserve">	12</w:t>
      </w:r>
    </w:p>
    <w:p>
      <w:pPr>
        <w:tabs>
          <w:tab w:val="right" w:pos="9026" w:leader="dot"/>
        </w:tabs>
        <w:spacing w:after="120"/>
        <w:ind w:left="0"/>
      </w:pPr>
      <w:r>
        <w:rPr>
          <w:b/>
          <w:bCs/>
          <w:sz w:val="22"/>
          <w:szCs w:val="22"/>
        </w:rPr>
        <w:t xml:space="preserve">Appendix A: Packet Type Quick Reference</w:t>
      </w:r>
      <w:r>
        <w:rPr>
          <w:sz w:val="22"/>
          <w:szCs w:val="22"/>
        </w:rPr>
        <w:t xml:space="preserve">	15</w:t>
      </w:r>
    </w:p>
    <w:p>
      <w:pPr>
        <w:tabs>
          <w:tab w:val="right" w:pos="9026" w:leader="dot"/>
        </w:tabs>
        <w:spacing w:after="120"/>
        <w:ind w:left="0"/>
      </w:pPr>
      <w:r>
        <w:rPr>
          <w:b/>
          <w:bCs/>
          <w:sz w:val="22"/>
          <w:szCs w:val="22"/>
        </w:rPr>
        <w:t xml:space="preserve">Appendix B: Standard Request Codes Quick Reference</w:t>
      </w:r>
      <w:r>
        <w:rPr>
          <w:sz w:val="22"/>
          <w:szCs w:val="22"/>
        </w:rPr>
        <w:t xml:space="preserve">	16</w:t>
      </w:r>
    </w:p>
    <w:p>
      <w:pPr>
        <w:tabs>
          <w:tab w:val="right" w:pos="9026" w:leader="dot"/>
        </w:tabs>
        <w:spacing w:after="120"/>
        <w:ind w:left="0"/>
      </w:pPr>
      <w:r>
        <w:rPr>
          <w:b/>
          <w:bCs/>
          <w:sz w:val="22"/>
          <w:szCs w:val="22"/>
        </w:rPr>
        <w:t xml:space="preserve">Appendix C: Source Repository Index</w:t>
      </w:r>
      <w:r>
        <w:rPr>
          <w:sz w:val="22"/>
          <w:szCs w:val="22"/>
        </w:rPr>
        <w:t xml:space="preserve">	16</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Introduction</w:t>
      </w:r>
    </w:p>
    <w:p>
      <w:pPr>
        <w:spacing w:after="160" w:line="276"/>
      </w:pPr>
      <w:r>
        <w:t xml:space="preserve">USB has quietly become one of the most layered protocols a verification engineer will ever trace through a logic analyzer or a UVM testbench. Underneath the “just plug it in” simplicity sits a stack of link training, packet framing, flow control, and state machines that all have to line up correctly before a host and device even agree to talk — long before any user data moves.</w:t>
      </w:r>
    </w:p>
    <w:p>
      <w:pPr>
        <w:spacing w:after="160" w:line="276"/>
      </w:pPr>
      <w:r>
        <w:t xml:space="preserve">This guide expands on an internal USB SuperSpeed training deck into a single reference document. It follows the same order a real capture would show: physical-layer link bring-up first, then the packet vocabulary used once the link is trained, and finally the control-transfer sequence that takes a device from “physically connected” to “fully configured and ready for data.” It closes with a verification-focused checklist tying each layer back to the bug classes it tends to produce.</w:t>
      </w:r>
    </w:p>
    <w:p>
      <w:pPr>
        <w:spacing w:after="160" w:line="276"/>
      </w:pPr>
      <w:r>
        <w:t xml:space="preserve">The intent is to serve as a standing reference — something to open mid-debug rather than read once and file away — so each section is written to stand on its own, with cross-references where the layers interact.</w:t>
      </w:r>
    </w:p>
    <w:p>
      <w:pPr>
        <w:pStyle w:val="Heading1"/>
        <w:spacing w:after="200" w:before="400"/>
      </w:pPr>
      <w:r>
        <w:t xml:space="preserve">2. USB Overview</w:t>
      </w:r>
    </w:p>
    <w:p>
      <w:pPr>
        <w:spacing w:after="160" w:line="276"/>
      </w:pPr>
      <w:r>
        <w:t xml:space="preserve">At the architecture level, USB is a host-centric, tiered-star topology: a single host controller sits at the root, with hubs fanning out to devices below it. On the wire, SuperSpeed (USB 3.x) adds a dedicated set of high-speed differential pairs alongside the legacy USB 2.0 pairs, so a SuperSpeed-capable device negotiates and trains an entirely separate link from its USB 2.0 fallback path.</w:t>
      </w:r>
    </w:p>
    <w:p>
      <w:pPr>
        <w:spacing w:after="160" w:line="276"/>
      </w:pPr>
      <w:r>
        <w:t xml:space="preserve">Three things distinguish the SuperSpeed link from earlier USB generations, and each shows up repeatedly through the rest of this guide:</w:t>
      </w:r>
    </w:p>
    <w:p>
      <w:pPr>
        <w:pStyle w:val="ListParagraph"/>
        <w:numPr>
          <w:ilvl w:val="0"/>
          <w:numId w:val="1"/>
        </w:numPr>
        <w:spacing w:after="80"/>
      </w:pPr>
      <w:r>
        <w:t xml:space="preserve">Point-to-point, full-duplex signaling instead of the shared, half-duplex bus model of USB 2.0 and earlier.</w:t>
      </w:r>
    </w:p>
    <w:p>
      <w:pPr>
        <w:pStyle w:val="ListParagraph"/>
        <w:numPr>
          <w:ilvl w:val="0"/>
          <w:numId w:val="1"/>
        </w:numPr>
        <w:spacing w:after="80"/>
      </w:pPr>
      <w:r>
        <w:t xml:space="preserve">Packetized, asynchronous transfer instead of the strictly polled model — devices can initiate data delivery (via ERDY) rather than waiting to be asked on every frame.</w:t>
      </w:r>
    </w:p>
    <w:p>
      <w:pPr>
        <w:pStyle w:val="ListParagraph"/>
        <w:numPr>
          <w:ilvl w:val="0"/>
          <w:numId w:val="1"/>
        </w:numPr>
        <w:spacing w:after="80"/>
      </w:pPr>
      <w:r>
        <w:t xml:space="preserve">An explicit link-training state machine (LTSSM) that must complete before any protocol-layer packet is valid.</w:t>
      </w:r>
    </w:p>
    <w:p>
      <w:pPr>
        <w:spacing w:after="160" w:line="276"/>
      </w:pPr>
      <w:r>
        <w:t xml:space="preserve">From a verification standpoint, this means a SuperSpeed testbench has to model correct behavior at three largely independent layers — physical/link training, link-layer packet exchange, and protocol-layer (control/bulk/interrupt/isochronous) transfers — and bugs at one layer often masquerade as failures at another.</w:t>
      </w:r>
    </w:p>
    <w:p>
      <w:pPr>
        <w:pStyle w:val="Heading1"/>
        <w:spacing w:after="200" w:before="400"/>
      </w:pPr>
      <w:r>
        <w:t xml:space="preserve">3. Host-Side Test Environment</w:t>
      </w:r>
    </w:p>
    <w:p>
      <w:pPr>
        <w:pStyle w:val="Heading2"/>
        <w:spacing w:after="150" w:before="300"/>
      </w:pPr>
      <w:r>
        <w:t xml:space="preserve">3.1 Building the testbench around a VIP</w:t>
      </w:r>
    </w:p>
    <w:p>
      <w:pPr>
        <w:spacing w:after="160" w:line="276"/>
      </w:pPr>
      <w:r>
        <w:t xml:space="preserve">A typical SuperSpeed host-side testbench is built around a Verification IP (VIP) that can be configured to play either the host or the device role, driving and monitoring the link exactly as real silicon would. The VIP sits alongside the DUT (device under test) with the physical-layer interface modeled or connected to a PHY model, and the testbench layers sequences, scoreboards, and checkers on top of it.</w:t>
      </w:r>
    </w:p>
    <w:p>
      <w:pPr>
        <w:pStyle w:val="Heading2"/>
        <w:spacing w:after="150" w:before="300"/>
      </w:pPr>
      <w:r>
        <w:t xml:space="preserve">3.2 Configuring the VIP</w:t>
      </w:r>
    </w:p>
    <w:p>
      <w:pPr>
        <w:spacing w:after="160" w:line="276"/>
      </w:pPr>
      <w:r>
        <w:t xml:space="preserve">Before any test can run meaningfully, the VIP has to be configured: link role (host or device), target speed (Gen1/Gen2, and lane count for multi-lane configurations), and initial LTSSM entry conditions. Getting this configuration wrong is a surprisingly common source of “phantom” test failures — the DUT never even reaches a state where the intended stimulus is valid, so the failure signature looks like a protocol bug when it is actually a setup bug.</w:t>
      </w:r>
    </w:p>
    <w:p>
      <w:pPr>
        <w:pBdr>
          <w:left w:val="single" w:color="1F4E79" w:sz="12" w:space="8"/>
        </w:pBdr>
        <w:spacing w:after="200" w:before="80"/>
        <w:ind w:left="360"/>
      </w:pPr>
      <w:r>
        <w:rPr>
          <w:i/>
          <w:iCs/>
          <w:color w:val="595959"/>
          <w:sz w:val="20"/>
          <w:szCs w:val="20"/>
        </w:rPr>
        <w:t xml:space="preserve">Verification tip: when a new test fails on its very first transaction, check VIP configuration and LTSSM state before assuming the packet-layer sequence is wrong.</w:t>
      </w:r>
    </w:p>
    <w:p>
      <w:pPr>
        <w:pStyle w:val="Heading1"/>
        <w:spacing w:after="200" w:before="400"/>
      </w:pPr>
      <w:r>
        <w:t xml:space="preserve">4. Link Training and the Physical Layer</w:t>
      </w:r>
    </w:p>
    <w:p>
      <w:pPr>
        <w:spacing w:after="160" w:line="276"/>
      </w:pPr>
      <w:r>
        <w:t xml:space="preserve">Every SuperSpeed link, without exception, begins in the physical layer with detection and training. Nothing at the packet layer is meaningful until this completes.</w:t>
      </w:r>
    </w:p>
    <w:p>
      <w:pPr>
        <w:pStyle w:val="Heading2"/>
        <w:spacing w:after="150" w:before="300"/>
      </w:pPr>
      <w:r>
        <w:t xml:space="preserve">4.1 LFPS — Low Frequency Periodic Signaling</w:t>
      </w:r>
    </w:p>
    <w:p>
      <w:pPr>
        <w:spacing w:after="160" w:line="276"/>
      </w:pPr>
      <w:r>
        <w:t xml:space="preserve">LFPS is the very first thing that appears on a newly connected SuperSpeed link. It's a burst signaling scheme running well below the link's normal data rate, used purely for detection, wake-up from low-power states, and the earliest stage of polling — long before the link is trained enough to carry 8b/10b or 128b/132b encoded data.</w:t>
      </w:r>
    </w:p>
    <w:p>
      <w:pPr>
        <w:spacing w:after="160" w:line="276"/>
      </w:pPr>
      <w:r>
        <w:t xml:space="preserve">The meaning of an LFPS burst is encoded in its duty cycle relative to the PWM (pulse-width-modulation) period, alternating between active signaling and Electrical Idle (EI):</w:t>
      </w:r>
    </w:p>
    <w:p>
      <w:pPr>
        <w:pStyle w:val="ListParagraph"/>
        <w:numPr>
          <w:ilvl w:val="0"/>
          <w:numId w:val="1"/>
        </w:numPr>
        <w:spacing w:after="80"/>
      </w:pPr>
      <w:r>
        <w:t xml:space="preserve">2/3 of the PWM period is driven high, with the remaining 1/3 in Electrical Idle — one LFPS signaling state.</w:t>
      </w:r>
    </w:p>
    <w:p>
      <w:pPr>
        <w:pStyle w:val="ListParagraph"/>
        <w:numPr>
          <w:ilvl w:val="0"/>
          <w:numId w:val="1"/>
        </w:numPr>
        <w:spacing w:after="80"/>
      </w:pPr>
      <w:r>
        <w:t xml:space="preserve">1/3 of the PWM period is driven high, with the remaining 2/3 in Electrical Idle — the other LFPS signaling state.</w:t>
      </w:r>
    </w:p>
    <w:p>
      <w:pPr>
        <w:spacing w:after="160" w:line="276"/>
      </w:pPr>
      <w:r>
        <w:t xml:space="preserve">Because these are timing-based encodings rather than data patterns, LFPS is one of the more failure-prone areas to verify purely in simulation — small timing deviations that would be invisible in a packet-level check can still violate the duty-cycle tolerance a real PHY would enforce.</w:t>
      </w:r>
    </w:p>
    <w:p>
      <w:pPr>
        <w:pStyle w:val="Heading2"/>
        <w:spacing w:after="150" w:before="300"/>
      </w:pPr>
      <w:r>
        <w:t xml:space="preserve">4.2 Logical Idle</w:t>
      </w:r>
    </w:p>
    <w:p>
      <w:pPr>
        <w:spacing w:after="160" w:line="276"/>
      </w:pPr>
      <w:r>
        <w:t xml:space="preserve">Once LFPS handshaking completes and the link has trained far enough to run at full rate, it settles into Logical Idle: a defined, quiescent “ready but not transmitting” state. Logical Idle is not the same as Electrical Idle — it's an actively maintained state at the trained data rate, and its presence (or unexpected absence) between transactions is one of the more useful link-layer sanity checks in a waveform.</w:t>
      </w:r>
    </w:p>
    <w:p>
      <w:pPr>
        <w:pStyle w:val="Heading2"/>
        <w:spacing w:after="150" w:before="300"/>
      </w:pPr>
      <w:r>
        <w:t xml:space="preserve">4.3 LTSSM — Link Training and Status State Machine</w:t>
      </w:r>
    </w:p>
    <w:p>
      <w:pPr>
        <w:spacing w:after="160" w:line="276"/>
      </w:pPr>
      <w:r>
        <w:t xml:space="preserve">The LTSSM is the state machine that governs the entire lifecycle of a SuperSpeed link: detection, polling and training, the active U0 state, the low-power U1/U2/U3 states, and recovery back to U0 after an excursion. Every one of the packet exchanges described later in this guide is only valid once the LTSSM has reached U0 — and a huge share of real-world SuperSpeed bugs trace back to an LTSSM transition that happened at the wrong time, took too long, or never completed.</w:t>
      </w:r>
    </w:p>
    <w:p>
      <w:pPr>
        <w:pBdr>
          <w:left w:val="single" w:color="1F4E79" w:sz="12" w:space="8"/>
        </w:pBdr>
        <w:spacing w:after="200" w:before="80"/>
        <w:ind w:left="360"/>
      </w:pPr>
      <w:r>
        <w:rPr>
          <w:i/>
          <w:iCs/>
          <w:color w:val="595959"/>
          <w:sz w:val="20"/>
          <w:szCs w:val="20"/>
        </w:rPr>
        <w:t xml:space="preserve">Verification tip: nearly every hard-to-reproduce SuperSpeed bug is worth checking against the LTSSM trace first. If the link dropped out of U0 and recovered mid-transfer, everything downstream of that point needs to be re-examined with that context in mind.</w:t>
      </w:r>
    </w:p>
    <w:p>
      <w:pPr>
        <w:pStyle w:val="Heading1"/>
        <w:spacing w:after="200" w:before="400"/>
      </w:pPr>
      <w:r>
        <w:t xml:space="preserve">5. Link Commands and Flow Control</w:t>
      </w:r>
    </w:p>
    <w:p>
      <w:pPr>
        <w:spacing w:after="160" w:line="276"/>
      </w:pPr>
      <w:r>
        <w:t xml:space="preserve">Once the link is trained, it doesn't go silent between data transfers — it's kept alive, synchronized, and flow-controlled by a family of link commands that operate below the protocol-packet layer.</w:t>
      </w:r>
    </w:p>
    <w:p>
      <w:pPr>
        <w:pStyle w:val="Heading2"/>
        <w:spacing w:after="150" w:before="300"/>
      </w:pPr>
      <w:r>
        <w:t xml:space="preserve">5.1 LGOOD_x</w:t>
      </w:r>
    </w:p>
    <w:p>
      <w:pPr>
        <w:spacing w:after="160" w:line="276"/>
      </w:pPr>
      <w:r>
        <w:t xml:space="preserve">LGOOD_x acknowledges receipt of a link-layer packet at sequence number x, closing the loop on link-level flow control independently of protocol-layer ACKs. On USB Gen 3.1, these link commands are built from specific control symbols rather than ordinary data symbols:</w:t>
      </w:r>
    </w:p>
    <w:p>
      <w:pPr>
        <w:pStyle w:val="ListParagraph"/>
        <w:numPr>
          <w:ilvl w:val="0"/>
          <w:numId w:val="1"/>
        </w:numPr>
        <w:spacing w:after="80"/>
      </w:pPr>
      <w:r>
        <w:t xml:space="preserve">SLC token: K30.7 — the “K” denotes a control symbol (as opposed to a data symbol); “30” is the 5-bit portion of the symbol, and “7” is the 3-bit portion.</w:t>
      </w:r>
    </w:p>
    <w:p>
      <w:pPr>
        <w:pStyle w:val="ListParagraph"/>
        <w:numPr>
          <w:ilvl w:val="0"/>
          <w:numId w:val="1"/>
        </w:numPr>
        <w:spacing w:after="80"/>
      </w:pPr>
      <w:r>
        <w:t xml:space="preserve">EPF token: K23.7 — same structure, with “23” as the 5-bit portion and “7” as the 3-bit portion.</w:t>
      </w:r>
    </w:p>
    <w:p>
      <w:pPr>
        <w:spacing w:after="160" w:line="276"/>
      </w:pPr>
      <w:r>
        <w:t xml:space="preserve">Recognizing these control-symbol patterns directly in a capture is often faster than waiting for decode tooling to label them, especially when debugging at the symbol level.</w:t>
      </w:r>
    </w:p>
    <w:p>
      <w:pPr>
        <w:pStyle w:val="Heading2"/>
        <w:spacing w:after="150" w:before="300"/>
      </w:pPr>
      <w:r>
        <w:t xml:space="preserve">5.2 LUP and LDN</w:t>
      </w:r>
    </w:p>
    <w:p>
      <w:pPr>
        <w:spacing w:after="160" w:line="276"/>
      </w:pPr>
      <w:r>
        <w:t xml:space="preserve">LUP and LDN are link commands sent specifically in the absence of other packets and link commands — effectively keep-alive traffic that maintains the link's flow-control credit bookkeeping when nothing else is being transmitted. Their absence when expected (or unexpected presence during active data transfer) is a useful flow-control health check.</w:t>
      </w:r>
    </w:p>
    <w:p>
      <w:pPr>
        <w:pStyle w:val="Heading2"/>
        <w:spacing w:after="150" w:before="300"/>
      </w:pPr>
      <w:r>
        <w:t xml:space="preserve">5.3 LMP — Link Management Packets</w:t>
      </w:r>
    </w:p>
    <w:p>
      <w:pPr>
        <w:spacing w:after="160" w:line="276"/>
      </w:pPr>
      <w:r>
        <w:t xml:space="preserve">LMPs handle link and port-level configuration, separate from the endpoint-level protocol traffic described in later sections. One of the more interesting LMP behaviors is port-role tie-breaking: when both ends of a link are capable of acting as either the upstream or downstream port, a random number is used to resolve which side takes which role. A subsequent LMP Configuration Response with a Success result code and the appropriate subtype (subtype 06 in the reference capture) confirms that negotiation completed cleanly.</w:t>
      </w:r>
    </w:p>
    <w:p>
      <w:pPr>
        <w:pStyle w:val="Heading1"/>
        <w:spacing w:after="200" w:before="400"/>
      </w:pPr>
      <w:r>
        <w:t xml:space="preserve">6. Packet Types on the SuperSpeed Bus</w:t>
      </w:r>
    </w:p>
    <w:p>
      <w:pPr>
        <w:spacing w:after="160" w:line="276"/>
      </w:pPr>
      <w:r>
        <w:t xml:space="preserve">Above the link-command layer, USB SuperSpeed defines a compact vocabulary of header packets, cleanly split by direction. Knowing this table well enough to recognize packet type from the header nibble alone is one of the highest-leverage things a verification engineer can memorize.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550"/>
        <w:gridCol w:w="3500"/>
      </w:tblGrid>
      <w:tr>
        <w:trPr>
          <w:tblHeader/>
        </w:trPr>
        <w:tc>
          <w:tcPr>
            <w:tcW w:type="dxa" w:w="2600"/>
            <w:shd w:fill="1F4E79" w:color="auto" w:val="clear"/>
            <w:tcMar>
              <w:top w:type="dxa" w:w="80"/>
              <w:left w:type="dxa" w:w="120"/>
              <w:bottom w:type="dxa" w:w="80"/>
              <w:right w:type="dxa" w:w="120"/>
            </w:tcMar>
            <w:vAlign w:val="center"/>
          </w:tcPr>
          <w:p>
            <w:r>
              <w:rPr>
                <w:b/>
                <w:bCs/>
                <w:color w:val="FFFFFF"/>
                <w:sz w:val="20"/>
                <w:szCs w:val="20"/>
              </w:rPr>
              <w:t xml:space="preserve">Direction</w:t>
            </w:r>
          </w:p>
        </w:tc>
        <w:tc>
          <w:tcPr>
            <w:tcW w:type="dxa" w:w="1700"/>
            <w:shd w:fill="1F4E79" w:color="auto" w:val="clear"/>
            <w:tcMar>
              <w:top w:type="dxa" w:w="80"/>
              <w:left w:type="dxa" w:w="120"/>
              <w:bottom w:type="dxa" w:w="80"/>
              <w:right w:type="dxa" w:w="120"/>
            </w:tcMar>
            <w:vAlign w:val="center"/>
          </w:tcPr>
          <w:p>
            <w:r>
              <w:rPr>
                <w:b/>
                <w:bCs/>
                <w:color w:val="FFFFFF"/>
                <w:sz w:val="20"/>
                <w:szCs w:val="20"/>
              </w:rPr>
              <w:t xml:space="preserve">Packet</w:t>
            </w:r>
          </w:p>
        </w:tc>
        <w:tc>
          <w:tcPr>
            <w:tcW w:type="dxa" w:w="1550"/>
            <w:shd w:fill="1F4E79" w:color="auto" w:val="clear"/>
            <w:tcMar>
              <w:top w:type="dxa" w:w="80"/>
              <w:left w:type="dxa" w:w="120"/>
              <w:bottom w:type="dxa" w:w="80"/>
              <w:right w:type="dxa" w:w="120"/>
            </w:tcMar>
            <w:vAlign w:val="center"/>
          </w:tcPr>
          <w:p>
            <w:r>
              <w:rPr>
                <w:b/>
                <w:bCs/>
                <w:color w:val="FFFFFF"/>
                <w:sz w:val="20"/>
                <w:szCs w:val="20"/>
              </w:rPr>
              <w:t xml:space="preserve">Type Field</w:t>
            </w:r>
          </w:p>
        </w:tc>
        <w:tc>
          <w:tcPr>
            <w:tcW w:type="dxa" w:w="3500"/>
            <w:shd w:fill="1F4E79" w:color="auto" w:val="clear"/>
            <w:tcMar>
              <w:top w:type="dxa" w:w="80"/>
              <w:left w:type="dxa" w:w="120"/>
              <w:bottom w:type="dxa" w:w="80"/>
              <w:right w:type="dxa" w:w="120"/>
            </w:tcMar>
            <w:vAlign w:val="center"/>
          </w:tcPr>
          <w:p>
            <w:r>
              <w:rPr>
                <w:b/>
                <w:bCs/>
                <w:color w:val="FFFFFF"/>
                <w:sz w:val="20"/>
                <w:szCs w:val="20"/>
              </w:rPr>
              <w:t xml:space="preserve">Purpose</w:t>
            </w:r>
          </w:p>
        </w:tc>
      </w:tr>
      <w:tr>
        <w:trPr>
          <w:cantSplit/>
        </w:trPr>
        <w:tc>
          <w:tcPr>
            <w:tcW w:type="dxa" w:w="2600"/>
            <w:shd w:fill="FFFFFF" w:color="auto" w:val="clear"/>
            <w:tcMar>
              <w:top w:type="dxa" w:w="80"/>
              <w:left w:type="dxa" w:w="120"/>
              <w:bottom w:type="dxa" w:w="80"/>
              <w:right w:type="dxa" w:w="120"/>
            </w:tcMar>
            <w:vAlign w:val="center"/>
          </w:tcPr>
          <w:p>
            <w:r>
              <w:rPr>
                <w:b w:val="false"/>
                <w:bCs w:val="false"/>
                <w:color w:val="000000"/>
                <w:sz w:val="20"/>
                <w:szCs w:val="20"/>
              </w:rPr>
              <w:t xml:space="preserve">Upstream (Device → Host)</w:t>
            </w:r>
          </w:p>
        </w:tc>
        <w:tc>
          <w:tcPr>
            <w:tcW w:type="dxa" w:w="1700"/>
            <w:shd w:fill="FFFFFF" w:color="auto" w:val="clear"/>
            <w:tcMar>
              <w:top w:type="dxa" w:w="80"/>
              <w:left w:type="dxa" w:w="120"/>
              <w:bottom w:type="dxa" w:w="80"/>
              <w:right w:type="dxa" w:w="120"/>
            </w:tcMar>
            <w:vAlign w:val="center"/>
          </w:tcPr>
          <w:p>
            <w:r>
              <w:rPr>
                <w:b w:val="false"/>
                <w:bCs w:val="false"/>
                <w:color w:val="000000"/>
                <w:sz w:val="20"/>
                <w:szCs w:val="20"/>
              </w:rPr>
              <w:t xml:space="preserve">NRDY</w:t>
            </w:r>
          </w:p>
        </w:tc>
        <w:tc>
          <w:tcPr>
            <w:tcW w:type="dxa" w:w="1550"/>
            <w:shd w:fill="FFFFFF" w:color="auto" w:val="clear"/>
            <w:tcMar>
              <w:top w:type="dxa" w:w="80"/>
              <w:left w:type="dxa" w:w="120"/>
              <w:bottom w:type="dxa" w:w="80"/>
              <w:right w:type="dxa" w:w="120"/>
            </w:tcMar>
            <w:vAlign w:val="center"/>
          </w:tcPr>
          <w:p>
            <w:r>
              <w:rPr>
                <w:b w:val="false"/>
                <w:bCs w:val="false"/>
                <w:color w:val="000000"/>
                <w:sz w:val="20"/>
                <w:szCs w:val="20"/>
              </w:rPr>
              <w:t xml:space="preserve">0010b</w:t>
            </w:r>
          </w:p>
        </w:tc>
        <w:tc>
          <w:tcPr>
            <w:tcW w:type="dxa" w:w="3500"/>
            <w:shd w:fill="FFFFFF" w:color="auto" w:val="clear"/>
            <w:tcMar>
              <w:top w:type="dxa" w:w="80"/>
              <w:left w:type="dxa" w:w="120"/>
              <w:bottom w:type="dxa" w:w="80"/>
              <w:right w:type="dxa" w:w="120"/>
            </w:tcMar>
            <w:vAlign w:val="center"/>
          </w:tcPr>
          <w:p>
            <w:r>
              <w:rPr>
                <w:b w:val="false"/>
                <w:bCs w:val="false"/>
                <w:color w:val="000000"/>
                <w:sz w:val="20"/>
                <w:szCs w:val="20"/>
              </w:rPr>
              <w:t xml:space="preserve">Not Ready — device signals it cannot yet service a request</w:t>
            </w:r>
          </w:p>
        </w:tc>
      </w:tr>
      <w:tr>
        <w:trPr>
          <w:cantSplit/>
        </w:trPr>
        <w:tc>
          <w:tcPr>
            <w:tcW w:type="dxa" w:w="2600"/>
            <w:shd w:fill="EAF1F8" w:color="auto" w:val="clear"/>
            <w:tcMar>
              <w:top w:type="dxa" w:w="80"/>
              <w:left w:type="dxa" w:w="120"/>
              <w:bottom w:type="dxa" w:w="80"/>
              <w:right w:type="dxa" w:w="120"/>
            </w:tcMar>
            <w:vAlign w:val="center"/>
          </w:tcPr>
          <w:p>
            <w:r>
              <w:rPr>
                <w:b w:val="false"/>
                <w:bCs w:val="false"/>
                <w:color w:val="000000"/>
                <w:sz w:val="20"/>
                <w:szCs w:val="20"/>
              </w:rPr>
              <w:t xml:space="preserve">Upstream (Device → Host)</w:t>
            </w:r>
          </w:p>
        </w:tc>
        <w:tc>
          <w:tcPr>
            <w:tcW w:type="dxa" w:w="1700"/>
            <w:shd w:fill="EAF1F8" w:color="auto" w:val="clear"/>
            <w:tcMar>
              <w:top w:type="dxa" w:w="80"/>
              <w:left w:type="dxa" w:w="120"/>
              <w:bottom w:type="dxa" w:w="80"/>
              <w:right w:type="dxa" w:w="120"/>
            </w:tcMar>
            <w:vAlign w:val="center"/>
          </w:tcPr>
          <w:p>
            <w:r>
              <w:rPr>
                <w:b w:val="false"/>
                <w:bCs w:val="false"/>
                <w:color w:val="000000"/>
                <w:sz w:val="20"/>
                <w:szCs w:val="20"/>
              </w:rPr>
              <w:t xml:space="preserve">ERDY</w:t>
            </w:r>
          </w:p>
        </w:tc>
        <w:tc>
          <w:tcPr>
            <w:tcW w:type="dxa" w:w="1550"/>
            <w:shd w:fill="EAF1F8" w:color="auto" w:val="clear"/>
            <w:tcMar>
              <w:top w:type="dxa" w:w="80"/>
              <w:left w:type="dxa" w:w="120"/>
              <w:bottom w:type="dxa" w:w="80"/>
              <w:right w:type="dxa" w:w="120"/>
            </w:tcMar>
            <w:vAlign w:val="center"/>
          </w:tcPr>
          <w:p>
            <w:r>
              <w:rPr>
                <w:b w:val="false"/>
                <w:bCs w:val="false"/>
                <w:color w:val="000000"/>
                <w:sz w:val="20"/>
                <w:szCs w:val="20"/>
              </w:rPr>
              <w:t xml:space="preserve">0011b</w:t>
            </w:r>
          </w:p>
        </w:tc>
        <w:tc>
          <w:tcPr>
            <w:tcW w:type="dxa" w:w="3500"/>
            <w:shd w:fill="EAF1F8" w:color="auto" w:val="clear"/>
            <w:tcMar>
              <w:top w:type="dxa" w:w="80"/>
              <w:left w:type="dxa" w:w="120"/>
              <w:bottom w:type="dxa" w:w="80"/>
              <w:right w:type="dxa" w:w="120"/>
            </w:tcMar>
            <w:vAlign w:val="center"/>
          </w:tcPr>
          <w:p>
            <w:r>
              <w:rPr>
                <w:b w:val="false"/>
                <w:bCs w:val="false"/>
                <w:color w:val="000000"/>
                <w:sz w:val="20"/>
                <w:szCs w:val="20"/>
              </w:rPr>
              <w:t xml:space="preserve">Endpoint Ready — device notifies host that data is available</w:t>
            </w:r>
          </w:p>
        </w:tc>
      </w:tr>
      <w:tr>
        <w:trPr>
          <w:cantSplit/>
        </w:trPr>
        <w:tc>
          <w:tcPr>
            <w:tcW w:type="dxa" w:w="2600"/>
            <w:shd w:fill="FFFFFF" w:color="auto" w:val="clear"/>
            <w:tcMar>
              <w:top w:type="dxa" w:w="80"/>
              <w:left w:type="dxa" w:w="120"/>
              <w:bottom w:type="dxa" w:w="80"/>
              <w:right w:type="dxa" w:w="120"/>
            </w:tcMar>
            <w:vAlign w:val="center"/>
          </w:tcPr>
          <w:p>
            <w:r>
              <w:rPr>
                <w:b w:val="false"/>
                <w:bCs w:val="false"/>
                <w:color w:val="000000"/>
                <w:sz w:val="20"/>
                <w:szCs w:val="20"/>
              </w:rPr>
              <w:t xml:space="preserve">Upstream (Device → Host)</w:t>
            </w:r>
          </w:p>
        </w:tc>
        <w:tc>
          <w:tcPr>
            <w:tcW w:type="dxa" w:w="1700"/>
            <w:shd w:fill="FFFFFF" w:color="auto" w:val="clear"/>
            <w:tcMar>
              <w:top w:type="dxa" w:w="80"/>
              <w:left w:type="dxa" w:w="120"/>
              <w:bottom w:type="dxa" w:w="80"/>
              <w:right w:type="dxa" w:w="120"/>
            </w:tcMar>
            <w:vAlign w:val="center"/>
          </w:tcPr>
          <w:p>
            <w:r>
              <w:rPr>
                <w:b w:val="false"/>
                <w:bCs w:val="false"/>
                <w:color w:val="000000"/>
                <w:sz w:val="20"/>
                <w:szCs w:val="20"/>
              </w:rPr>
              <w:t xml:space="preserve">STALL</w:t>
            </w:r>
          </w:p>
        </w:tc>
        <w:tc>
          <w:tcPr>
            <w:tcW w:type="dxa" w:w="1550"/>
            <w:shd w:fill="FFFFFF" w:color="auto" w:val="clear"/>
            <w:tcMar>
              <w:top w:type="dxa" w:w="80"/>
              <w:left w:type="dxa" w:w="120"/>
              <w:bottom w:type="dxa" w:w="80"/>
              <w:right w:type="dxa" w:w="120"/>
            </w:tcMar>
            <w:vAlign w:val="center"/>
          </w:tcPr>
          <w:p>
            <w:r>
              <w:rPr>
                <w:b w:val="false"/>
                <w:bCs w:val="false"/>
                <w:color w:val="000000"/>
                <w:sz w:val="20"/>
                <w:szCs w:val="20"/>
              </w:rPr>
              <w:t xml:space="preserve">0101b</w:t>
            </w:r>
          </w:p>
        </w:tc>
        <w:tc>
          <w:tcPr>
            <w:tcW w:type="dxa" w:w="3500"/>
            <w:shd w:fill="FFFFFF" w:color="auto" w:val="clear"/>
            <w:tcMar>
              <w:top w:type="dxa" w:w="80"/>
              <w:left w:type="dxa" w:w="120"/>
              <w:bottom w:type="dxa" w:w="80"/>
              <w:right w:type="dxa" w:w="120"/>
            </w:tcMar>
            <w:vAlign w:val="center"/>
          </w:tcPr>
          <w:p>
            <w:r>
              <w:rPr>
                <w:b w:val="false"/>
                <w:bCs w:val="false"/>
                <w:color w:val="000000"/>
                <w:sz w:val="20"/>
                <w:szCs w:val="20"/>
              </w:rPr>
              <w:t xml:space="preserve">Error condition reporting</w:t>
            </w:r>
          </w:p>
        </w:tc>
      </w:tr>
      <w:tr>
        <w:trPr>
          <w:cantSplit/>
        </w:trPr>
        <w:tc>
          <w:tcPr>
            <w:tcW w:type="dxa" w:w="2600"/>
            <w:shd w:fill="EAF1F8" w:color="auto" w:val="clear"/>
            <w:tcMar>
              <w:top w:type="dxa" w:w="80"/>
              <w:left w:type="dxa" w:w="120"/>
              <w:bottom w:type="dxa" w:w="80"/>
              <w:right w:type="dxa" w:w="120"/>
            </w:tcMar>
            <w:vAlign w:val="center"/>
          </w:tcPr>
          <w:p>
            <w:r>
              <w:rPr>
                <w:b w:val="false"/>
                <w:bCs w:val="false"/>
                <w:color w:val="000000"/>
                <w:sz w:val="20"/>
                <w:szCs w:val="20"/>
              </w:rPr>
              <w:t xml:space="preserve">Upstream (Device → Host)</w:t>
            </w:r>
          </w:p>
        </w:tc>
        <w:tc>
          <w:tcPr>
            <w:tcW w:type="dxa" w:w="1700"/>
            <w:shd w:fill="EAF1F8" w:color="auto" w:val="clear"/>
            <w:tcMar>
              <w:top w:type="dxa" w:w="80"/>
              <w:left w:type="dxa" w:w="120"/>
              <w:bottom w:type="dxa" w:w="80"/>
              <w:right w:type="dxa" w:w="120"/>
            </w:tcMar>
            <w:vAlign w:val="center"/>
          </w:tcPr>
          <w:p>
            <w:r>
              <w:rPr>
                <w:b w:val="false"/>
                <w:bCs w:val="false"/>
                <w:color w:val="000000"/>
                <w:sz w:val="20"/>
                <w:szCs w:val="20"/>
              </w:rPr>
              <w:t xml:space="preserve">NOTIFICATION</w:t>
            </w:r>
          </w:p>
        </w:tc>
        <w:tc>
          <w:tcPr>
            <w:tcW w:type="dxa" w:w="1550"/>
            <w:shd w:fill="EAF1F8" w:color="auto" w:val="clear"/>
            <w:tcMar>
              <w:top w:type="dxa" w:w="80"/>
              <w:left w:type="dxa" w:w="120"/>
              <w:bottom w:type="dxa" w:w="80"/>
              <w:right w:type="dxa" w:w="120"/>
            </w:tcMar>
            <w:vAlign w:val="center"/>
          </w:tcPr>
          <w:p>
            <w:r>
              <w:rPr>
                <w:b w:val="false"/>
                <w:bCs w:val="false"/>
                <w:color w:val="000000"/>
                <w:sz w:val="20"/>
                <w:szCs w:val="20"/>
              </w:rPr>
              <w:t xml:space="preserve">0110b</w:t>
            </w:r>
          </w:p>
        </w:tc>
        <w:tc>
          <w:tcPr>
            <w:tcW w:type="dxa" w:w="3500"/>
            <w:shd w:fill="EAF1F8" w:color="auto" w:val="clear"/>
            <w:tcMar>
              <w:top w:type="dxa" w:w="80"/>
              <w:left w:type="dxa" w:w="120"/>
              <w:bottom w:type="dxa" w:w="80"/>
              <w:right w:type="dxa" w:w="120"/>
            </w:tcMar>
            <w:vAlign w:val="center"/>
          </w:tcPr>
          <w:p>
            <w:r>
              <w:rPr>
                <w:b w:val="false"/>
                <w:bCs w:val="false"/>
                <w:color w:val="000000"/>
                <w:sz w:val="20"/>
                <w:szCs w:val="20"/>
              </w:rPr>
              <w:t xml:space="preserve">Asynchronous event notification</w:t>
            </w:r>
          </w:p>
        </w:tc>
      </w:tr>
      <w:tr>
        <w:trPr>
          <w:cantSplit/>
        </w:trPr>
        <w:tc>
          <w:tcPr>
            <w:tcW w:type="dxa" w:w="2600"/>
            <w:shd w:fill="FFFFFF" w:color="auto" w:val="clear"/>
            <w:tcMar>
              <w:top w:type="dxa" w:w="80"/>
              <w:left w:type="dxa" w:w="120"/>
              <w:bottom w:type="dxa" w:w="80"/>
              <w:right w:type="dxa" w:w="120"/>
            </w:tcMar>
            <w:vAlign w:val="center"/>
          </w:tcPr>
          <w:p>
            <w:r>
              <w:rPr>
                <w:b w:val="false"/>
                <w:bCs w:val="false"/>
                <w:color w:val="000000"/>
                <w:sz w:val="20"/>
                <w:szCs w:val="20"/>
              </w:rPr>
              <w:t xml:space="preserve">Upstream (Device → Host)</w:t>
            </w:r>
          </w:p>
        </w:tc>
        <w:tc>
          <w:tcPr>
            <w:tcW w:type="dxa" w:w="1700"/>
            <w:shd w:fill="FFFFFF" w:color="auto" w:val="clear"/>
            <w:tcMar>
              <w:top w:type="dxa" w:w="80"/>
              <w:left w:type="dxa" w:w="120"/>
              <w:bottom w:type="dxa" w:w="80"/>
              <w:right w:type="dxa" w:w="120"/>
            </w:tcMar>
            <w:vAlign w:val="center"/>
          </w:tcPr>
          <w:p>
            <w:r>
              <w:rPr>
                <w:b w:val="false"/>
                <w:bCs w:val="false"/>
                <w:color w:val="000000"/>
                <w:sz w:val="20"/>
                <w:szCs w:val="20"/>
              </w:rPr>
              <w:t xml:space="preserve">PING RESPONSE</w:t>
            </w:r>
          </w:p>
        </w:tc>
        <w:tc>
          <w:tcPr>
            <w:tcW w:type="dxa" w:w="1550"/>
            <w:shd w:fill="FFFFFF" w:color="auto" w:val="clear"/>
            <w:tcMar>
              <w:top w:type="dxa" w:w="80"/>
              <w:left w:type="dxa" w:w="120"/>
              <w:bottom w:type="dxa" w:w="80"/>
              <w:right w:type="dxa" w:w="120"/>
            </w:tcMar>
            <w:vAlign w:val="center"/>
          </w:tcPr>
          <w:p>
            <w:r>
              <w:rPr>
                <w:b w:val="false"/>
                <w:bCs w:val="false"/>
                <w:color w:val="000000"/>
                <w:sz w:val="20"/>
                <w:szCs w:val="20"/>
              </w:rPr>
              <w:t xml:space="preserve">1000b</w:t>
            </w:r>
          </w:p>
        </w:tc>
        <w:tc>
          <w:tcPr>
            <w:tcW w:type="dxa" w:w="3500"/>
            <w:shd w:fill="FFFFFF" w:color="auto" w:val="clear"/>
            <w:tcMar>
              <w:top w:type="dxa" w:w="80"/>
              <w:left w:type="dxa" w:w="120"/>
              <w:bottom w:type="dxa" w:w="80"/>
              <w:right w:type="dxa" w:w="120"/>
            </w:tcMar>
            <w:vAlign w:val="center"/>
          </w:tcPr>
          <w:p>
            <w:r>
              <w:rPr>
                <w:b w:val="false"/>
                <w:bCs w:val="false"/>
                <w:color w:val="000000"/>
                <w:sz w:val="20"/>
                <w:szCs w:val="20"/>
              </w:rPr>
              <w:t xml:space="preserve">Reply to a host PING</w:t>
            </w:r>
          </w:p>
        </w:tc>
      </w:tr>
      <w:tr>
        <w:trPr>
          <w:cantSplit/>
        </w:trPr>
        <w:tc>
          <w:tcPr>
            <w:tcW w:type="dxa" w:w="2600"/>
            <w:shd w:fill="EAF1F8" w:color="auto" w:val="clear"/>
            <w:tcMar>
              <w:top w:type="dxa" w:w="80"/>
              <w:left w:type="dxa" w:w="120"/>
              <w:bottom w:type="dxa" w:w="80"/>
              <w:right w:type="dxa" w:w="120"/>
            </w:tcMar>
            <w:vAlign w:val="center"/>
          </w:tcPr>
          <w:p>
            <w:r>
              <w:rPr>
                <w:b w:val="false"/>
                <w:bCs w:val="false"/>
                <w:color w:val="000000"/>
                <w:sz w:val="20"/>
                <w:szCs w:val="20"/>
              </w:rPr>
              <w:t xml:space="preserve">Bidirectional</w:t>
            </w:r>
          </w:p>
        </w:tc>
        <w:tc>
          <w:tcPr>
            <w:tcW w:type="dxa" w:w="1700"/>
            <w:shd w:fill="EAF1F8" w:color="auto" w:val="clear"/>
            <w:tcMar>
              <w:top w:type="dxa" w:w="80"/>
              <w:left w:type="dxa" w:w="120"/>
              <w:bottom w:type="dxa" w:w="80"/>
              <w:right w:type="dxa" w:w="120"/>
            </w:tcMar>
            <w:vAlign w:val="center"/>
          </w:tcPr>
          <w:p>
            <w:r>
              <w:rPr>
                <w:b w:val="false"/>
                <w:bCs w:val="false"/>
                <w:color w:val="000000"/>
                <w:sz w:val="20"/>
                <w:szCs w:val="20"/>
              </w:rPr>
              <w:t xml:space="preserve">ACK</w:t>
            </w:r>
          </w:p>
        </w:tc>
        <w:tc>
          <w:tcPr>
            <w:tcW w:type="dxa" w:w="1550"/>
            <w:shd w:fill="EAF1F8" w:color="auto" w:val="clear"/>
            <w:tcMar>
              <w:top w:type="dxa" w:w="80"/>
              <w:left w:type="dxa" w:w="120"/>
              <w:bottom w:type="dxa" w:w="80"/>
              <w:right w:type="dxa" w:w="120"/>
            </w:tcMar>
            <w:vAlign w:val="center"/>
          </w:tcPr>
          <w:p>
            <w:r>
              <w:rPr>
                <w:b w:val="false"/>
                <w:bCs w:val="false"/>
                <w:color w:val="000000"/>
                <w:sz w:val="20"/>
                <w:szCs w:val="20"/>
              </w:rPr>
              <w:t xml:space="preserve">0001b</w:t>
            </w:r>
          </w:p>
        </w:tc>
        <w:tc>
          <w:tcPr>
            <w:tcW w:type="dxa" w:w="3500"/>
            <w:shd w:fill="EAF1F8" w:color="auto" w:val="clear"/>
            <w:tcMar>
              <w:top w:type="dxa" w:w="80"/>
              <w:left w:type="dxa" w:w="120"/>
              <w:bottom w:type="dxa" w:w="80"/>
              <w:right w:type="dxa" w:w="120"/>
            </w:tcMar>
            <w:vAlign w:val="center"/>
          </w:tcPr>
          <w:p>
            <w:r>
              <w:rPr>
                <w:b w:val="false"/>
                <w:bCs w:val="false"/>
                <w:color w:val="000000"/>
                <w:sz w:val="20"/>
                <w:szCs w:val="20"/>
              </w:rPr>
              <w:t xml:space="preserve">Acknowledgment — used both upstream and downstream</w:t>
            </w:r>
          </w:p>
        </w:tc>
      </w:tr>
      <w:tr>
        <w:trPr>
          <w:cantSplit/>
        </w:trPr>
        <w:tc>
          <w:tcPr>
            <w:tcW w:type="dxa" w:w="2600"/>
            <w:shd w:fill="FFFFFF" w:color="auto" w:val="clear"/>
            <w:tcMar>
              <w:top w:type="dxa" w:w="80"/>
              <w:left w:type="dxa" w:w="120"/>
              <w:bottom w:type="dxa" w:w="80"/>
              <w:right w:type="dxa" w:w="120"/>
            </w:tcMar>
            <w:vAlign w:val="center"/>
          </w:tcPr>
          <w:p>
            <w:r>
              <w:rPr>
                <w:b w:val="false"/>
                <w:bCs w:val="false"/>
                <w:color w:val="000000"/>
                <w:sz w:val="20"/>
                <w:szCs w:val="20"/>
              </w:rPr>
              <w:t xml:space="preserve">Downstream (Host → Device)</w:t>
            </w:r>
          </w:p>
        </w:tc>
        <w:tc>
          <w:tcPr>
            <w:tcW w:type="dxa" w:w="1700"/>
            <w:shd w:fill="FFFFFF" w:color="auto" w:val="clear"/>
            <w:tcMar>
              <w:top w:type="dxa" w:w="80"/>
              <w:left w:type="dxa" w:w="120"/>
              <w:bottom w:type="dxa" w:w="80"/>
              <w:right w:type="dxa" w:w="120"/>
            </w:tcMar>
            <w:vAlign w:val="center"/>
          </w:tcPr>
          <w:p>
            <w:r>
              <w:rPr>
                <w:b w:val="false"/>
                <w:bCs w:val="false"/>
                <w:color w:val="000000"/>
                <w:sz w:val="20"/>
                <w:szCs w:val="20"/>
              </w:rPr>
              <w:t xml:space="preserve">STATUS</w:t>
            </w:r>
          </w:p>
        </w:tc>
        <w:tc>
          <w:tcPr>
            <w:tcW w:type="dxa" w:w="1550"/>
            <w:shd w:fill="FFFFFF" w:color="auto" w:val="clear"/>
            <w:tcMar>
              <w:top w:type="dxa" w:w="80"/>
              <w:left w:type="dxa" w:w="120"/>
              <w:bottom w:type="dxa" w:w="80"/>
              <w:right w:type="dxa" w:w="120"/>
            </w:tcMar>
            <w:vAlign w:val="center"/>
          </w:tcPr>
          <w:p>
            <w:r>
              <w:rPr>
                <w:b w:val="false"/>
                <w:bCs w:val="false"/>
                <w:color w:val="000000"/>
                <w:sz w:val="20"/>
                <w:szCs w:val="20"/>
              </w:rPr>
              <w:t xml:space="preserve">0100b</w:t>
            </w:r>
          </w:p>
        </w:tc>
        <w:tc>
          <w:tcPr>
            <w:tcW w:type="dxa" w:w="3500"/>
            <w:shd w:fill="FFFFFF" w:color="auto" w:val="clear"/>
            <w:tcMar>
              <w:top w:type="dxa" w:w="80"/>
              <w:left w:type="dxa" w:w="120"/>
              <w:bottom w:type="dxa" w:w="80"/>
              <w:right w:type="dxa" w:w="120"/>
            </w:tcMar>
            <w:vAlign w:val="center"/>
          </w:tcPr>
          <w:p>
            <w:r>
              <w:rPr>
                <w:b w:val="false"/>
                <w:bCs w:val="false"/>
                <w:color w:val="000000"/>
                <w:sz w:val="20"/>
                <w:szCs w:val="20"/>
              </w:rPr>
              <w:t xml:space="preserve">Status information from host to device</w:t>
            </w:r>
          </w:p>
        </w:tc>
      </w:tr>
      <w:tr>
        <w:trPr>
          <w:cantSplit/>
        </w:trPr>
        <w:tc>
          <w:tcPr>
            <w:tcW w:type="dxa" w:w="2600"/>
            <w:shd w:fill="EAF1F8" w:color="auto" w:val="clear"/>
            <w:tcMar>
              <w:top w:type="dxa" w:w="80"/>
              <w:left w:type="dxa" w:w="120"/>
              <w:bottom w:type="dxa" w:w="80"/>
              <w:right w:type="dxa" w:w="120"/>
            </w:tcMar>
            <w:vAlign w:val="center"/>
          </w:tcPr>
          <w:p>
            <w:r>
              <w:rPr>
                <w:b w:val="false"/>
                <w:bCs w:val="false"/>
                <w:color w:val="000000"/>
                <w:sz w:val="20"/>
                <w:szCs w:val="20"/>
              </w:rPr>
              <w:t xml:space="preserve">Downstream (Host → Device)</w:t>
            </w:r>
          </w:p>
        </w:tc>
        <w:tc>
          <w:tcPr>
            <w:tcW w:type="dxa" w:w="1700"/>
            <w:shd w:fill="EAF1F8" w:color="auto" w:val="clear"/>
            <w:tcMar>
              <w:top w:type="dxa" w:w="80"/>
              <w:left w:type="dxa" w:w="120"/>
              <w:bottom w:type="dxa" w:w="80"/>
              <w:right w:type="dxa" w:w="120"/>
            </w:tcMar>
            <w:vAlign w:val="center"/>
          </w:tcPr>
          <w:p>
            <w:r>
              <w:rPr>
                <w:b w:val="false"/>
                <w:bCs w:val="false"/>
                <w:color w:val="000000"/>
                <w:sz w:val="20"/>
                <w:szCs w:val="20"/>
              </w:rPr>
              <w:t xml:space="preserve">PING</w:t>
            </w:r>
          </w:p>
        </w:tc>
        <w:tc>
          <w:tcPr>
            <w:tcW w:type="dxa" w:w="1550"/>
            <w:shd w:fill="EAF1F8" w:color="auto" w:val="clear"/>
            <w:tcMar>
              <w:top w:type="dxa" w:w="80"/>
              <w:left w:type="dxa" w:w="120"/>
              <w:bottom w:type="dxa" w:w="80"/>
              <w:right w:type="dxa" w:w="120"/>
            </w:tcMar>
            <w:vAlign w:val="center"/>
          </w:tcPr>
          <w:p>
            <w:r>
              <w:rPr>
                <w:b w:val="false"/>
                <w:bCs w:val="false"/>
                <w:color w:val="000000"/>
                <w:sz w:val="20"/>
                <w:szCs w:val="20"/>
              </w:rPr>
              <w:t xml:space="preserve">0111b</w:t>
            </w:r>
          </w:p>
        </w:tc>
        <w:tc>
          <w:tcPr>
            <w:tcW w:type="dxa" w:w="3500"/>
            <w:shd w:fill="EAF1F8" w:color="auto" w:val="clear"/>
            <w:tcMar>
              <w:top w:type="dxa" w:w="80"/>
              <w:left w:type="dxa" w:w="120"/>
              <w:bottom w:type="dxa" w:w="80"/>
              <w:right w:type="dxa" w:w="120"/>
            </w:tcMar>
            <w:vAlign w:val="center"/>
          </w:tcPr>
          <w:p>
            <w:r>
              <w:rPr>
                <w:b w:val="false"/>
                <w:bCs w:val="false"/>
                <w:color w:val="000000"/>
                <w:sz w:val="20"/>
                <w:szCs w:val="20"/>
              </w:rPr>
              <w:t xml:space="preserve">Connection / readiness verification</w:t>
            </w:r>
          </w:p>
        </w:tc>
      </w:tr>
    </w:tbl>
    <w:p>
      <w:pPr>
        <w:spacing w:after="160" w:line="276"/>
      </w:pPr>
      <w:r>
        <w:t xml:space="preserve">A useful mental model: upstream packets are largely about the device managing flow (“not ready,” “ready,” “here's an event”), while the ACK/PING pair forms the bidirectional handshake that keeps both sides synchronized on what's been received.</w:t>
      </w:r>
    </w:p>
    <w:p>
      <w:pPr>
        <w:pStyle w:val="Heading1"/>
        <w:spacing w:after="200" w:before="400"/>
      </w:pPr>
      <w:r>
        <w:t xml:space="preserve">7. Packet Deep Dives</w:t>
      </w:r>
    </w:p>
    <w:p>
      <w:pPr>
        <w:pStyle w:val="Heading2"/>
        <w:spacing w:after="150" w:before="300"/>
      </w:pPr>
      <w:r>
        <w:t xml:space="preserve">7.1 ERDY — Endpoint Ready</w:t>
      </w:r>
    </w:p>
    <w:p>
      <w:pPr>
        <w:spacing w:after="160" w:line="276"/>
      </w:pPr>
      <w:r>
        <w:t xml:space="preserve">ERDY is an upstream packet — the device uses it to proactively tell the host that data is ready to be moved, rather than waiting to be polled. This asynchronous notification model is one of the defining efficiency improvements SuperSpeed brought over the strictly host-polled USB 2.0 model: bus time isn't wasted polling endpoints that have nothing to send.</w:t>
      </w:r>
    </w:p>
    <w:p>
      <w:pPr>
        <w:pStyle w:val="Heading2"/>
        <w:spacing w:after="150" w:before="300"/>
      </w:pPr>
      <w:r>
        <w:t xml:space="preserve">7.2 ACK Packet</w:t>
      </w:r>
    </w:p>
    <w:p>
      <w:pPr>
        <w:spacing w:after="160" w:line="276"/>
      </w:pPr>
      <w:r>
        <w:t xml:space="preserve">The ACK packet format carries several fields worth knowing individually, since each one shows up as its own debug clue:</w:t>
      </w:r>
    </w:p>
    <w:p>
      <w:pPr>
        <w:pStyle w:val="ListParagraph"/>
        <w:numPr>
          <w:ilvl w:val="0"/>
          <w:numId w:val="1"/>
        </w:numPr>
        <w:spacing w:after="80"/>
      </w:pPr>
      <w:r>
        <w:t xml:space="preserve">R (Reserved) — reserved bits, expected to be zero; a non-zero value here is itself worth flagging.</w:t>
      </w:r>
    </w:p>
    <w:p>
      <w:pPr>
        <w:pStyle w:val="ListParagraph"/>
        <w:numPr>
          <w:ilvl w:val="0"/>
          <w:numId w:val="1"/>
        </w:numPr>
        <w:spacing w:after="80"/>
      </w:pPr>
      <w:r>
        <w:t xml:space="preserve">Rty (Retry) — indicates a retry condition on the acknowledged transaction.</w:t>
      </w:r>
    </w:p>
    <w:p>
      <w:pPr>
        <w:pStyle w:val="ListParagraph"/>
        <w:numPr>
          <w:ilvl w:val="0"/>
          <w:numId w:val="1"/>
        </w:numPr>
        <w:spacing w:after="80"/>
      </w:pPr>
      <w:r>
        <w:t xml:space="preserve">Ept Num (Endpoint Number) — 0 designates Endpoint 0, the default control endpoint present on every USB device.</w:t>
      </w:r>
    </w:p>
    <w:p>
      <w:pPr>
        <w:pStyle w:val="ListParagraph"/>
        <w:numPr>
          <w:ilvl w:val="0"/>
          <w:numId w:val="1"/>
        </w:numPr>
        <w:spacing w:after="80"/>
      </w:pPr>
      <w:r>
        <w:t xml:space="preserve">Device Address — 0 until the device has been assigned an address via SET_ADDRESS (see Section 9.1); a non-zero value here before enumeration completes is a red flag.</w:t>
      </w:r>
    </w:p>
    <w:p>
      <w:pPr>
        <w:pStyle w:val="ListParagraph"/>
        <w:numPr>
          <w:ilvl w:val="0"/>
          <w:numId w:val="1"/>
        </w:numPr>
        <w:spacing w:after="80"/>
      </w:pPr>
      <w:r>
        <w:t xml:space="preserve">SSI (Support Iso Synchronous) — indicates isochronous synchronization support.</w:t>
      </w:r>
    </w:p>
    <w:p>
      <w:pPr>
        <w:pStyle w:val="ListParagraph"/>
        <w:numPr>
          <w:ilvl w:val="0"/>
          <w:numId w:val="1"/>
        </w:numPr>
        <w:spacing w:after="80"/>
      </w:pPr>
      <w:r>
        <w:t xml:space="preserve">WPA (Will Ping Again) — meaningful only if SSI is set; indicates the device will issue another ping.</w:t>
      </w:r>
    </w:p>
    <w:p>
      <w:pPr>
        <w:pStyle w:val="ListParagraph"/>
        <w:numPr>
          <w:ilvl w:val="0"/>
          <w:numId w:val="1"/>
        </w:numPr>
        <w:spacing w:after="80"/>
      </w:pPr>
      <w:r>
        <w:t xml:space="preserve">DBA (Data in Bus Interval) — relates to isochronous bus-interval data scheduling.</w:t>
      </w:r>
    </w:p>
    <w:p>
      <w:pPr>
        <w:pStyle w:val="ListParagraph"/>
        <w:numPr>
          <w:ilvl w:val="0"/>
          <w:numId w:val="1"/>
        </w:numPr>
        <w:spacing w:after="80"/>
      </w:pPr>
      <w:r>
        <w:t xml:space="preserve">Lpf — should not be set to 1 under normal conditions; treat a set Lpf bit as a checker condition.</w:t>
      </w:r>
    </w:p>
    <w:p>
      <w:pPr>
        <w:pStyle w:val="Heading2"/>
        <w:spacing w:after="150" w:before="300"/>
      </w:pPr>
      <w:r>
        <w:t xml:space="preserve">7.3 NRDY Packet</w:t>
      </w:r>
    </w:p>
    <w:p>
      <w:pPr>
        <w:spacing w:after="160" w:line="276"/>
      </w:pPr>
      <w:r>
        <w:t xml:space="preserve">NRDY is the device-to-host “Not Ready” indication — the device's way of telling the host that a requested endpoint cannot currently service the transaction. Seeing NRDY followed later by the corresponding ERDY is a normal flow-control pattern; seeing NRDY with no matching ERDY within a reasonable window is a strong candidate for a device-side stall or verification-IP sequencing bug.</w:t>
      </w:r>
    </w:p>
    <w:p>
      <w:pPr>
        <w:pStyle w:val="Heading2"/>
        <w:spacing w:after="150" w:before="300"/>
      </w:pPr>
      <w:r>
        <w:t xml:space="preserve">7.4 STATUS Packet</w:t>
      </w:r>
    </w:p>
    <w:p>
      <w:pPr>
        <w:spacing w:after="160" w:line="276"/>
      </w:pPr>
      <w:r>
        <w:t xml:space="preserve">The STATUS packet is sent by the device and typically appears clearly in a USB host logger trace as a distinct header packet type. It closes out the status stage of a control transfer (see Section 9), confirming that the transaction completed from the device's perspective.</w:t>
      </w:r>
    </w:p>
    <w:p>
      <w:pPr>
        <w:pStyle w:val="Heading2"/>
        <w:spacing w:after="150" w:before="300"/>
      </w:pPr>
      <w:r>
        <w:t xml:space="preserve">7.5 Data Packet Header (DPH) and Payload</w:t>
      </w:r>
    </w:p>
    <w:p>
      <w:pPr>
        <w:spacing w:after="160" w:line="276"/>
      </w:pPr>
      <w:r>
        <w:t xml:space="preserve">The Data Packet carries both a header and a payload, and several header fields are easy to get subtly wrong when hand-building test vectors:</w:t>
      </w:r>
    </w:p>
    <w:p>
      <w:pPr>
        <w:pStyle w:val="ListParagraph"/>
        <w:numPr>
          <w:ilvl w:val="0"/>
          <w:numId w:val="1"/>
        </w:numPr>
        <w:spacing w:after="80"/>
      </w:pPr>
      <w:r>
        <w:t xml:space="preserve">DF — Deferred Packet Header flag.</w:t>
      </w:r>
    </w:p>
    <w:p>
      <w:pPr>
        <w:pStyle w:val="ListParagraph"/>
        <w:numPr>
          <w:ilvl w:val="0"/>
          <w:numId w:val="1"/>
        </w:numPr>
        <w:spacing w:after="80"/>
      </w:pPr>
      <w:r>
        <w:t xml:space="preserve">DL — Delayed Packet Header flag.</w:t>
      </w:r>
    </w:p>
    <w:p>
      <w:pPr>
        <w:pStyle w:val="ListParagraph"/>
        <w:numPr>
          <w:ilvl w:val="0"/>
          <w:numId w:val="1"/>
        </w:numPr>
        <w:spacing w:after="80"/>
      </w:pPr>
      <w:r>
        <w:t xml:space="preserve">crcX — CRC calculated over X bits; SuperSpeed uses multiple polynomials across different fields to build up several distinct checksums rather than a single CRC covering the whole packet.</w:t>
      </w:r>
    </w:p>
    <w:p>
      <w:pPr>
        <w:pStyle w:val="ListParagraph"/>
        <w:numPr>
          <w:ilvl w:val="0"/>
          <w:numId w:val="1"/>
        </w:numPr>
        <w:spacing w:after="80"/>
      </w:pPr>
      <w:r>
        <w:t xml:space="preserve">PP — Packets Pending, indicating more data is queued behind this packet.</w:t>
      </w:r>
    </w:p>
    <w:p>
      <w:pPr>
        <w:pBdr>
          <w:left w:val="single" w:color="1F4E79" w:sz="12" w:space="8"/>
        </w:pBdr>
        <w:spacing w:after="200" w:before="80"/>
        <w:ind w:left="360"/>
      </w:pPr>
      <w:r>
        <w:rPr>
          <w:i/>
          <w:iCs/>
          <w:color w:val="595959"/>
          <w:sz w:val="20"/>
          <w:szCs w:val="20"/>
        </w:rPr>
        <w:t xml:space="preserve">Debug note: a mismatch between a reference value and a real captured packet is often not a real bug — double-check the reference source itself before chasing the DUT. In one reference capture, a Data Packet field was recorded as a different value than what the real packet actually carried (08h); the DUT was correct and the reference needed updating.</w:t>
      </w:r>
    </w:p>
    <w:p>
      <w:pPr>
        <w:pStyle w:val="Heading3"/>
        <w:spacing w:after="100" w:before="200"/>
      </w:pPr>
      <w:r>
        <w:t xml:space="preserve">7.5.1 DPH continued — Setup stage</w:t>
      </w:r>
    </w:p>
    <w:p>
      <w:pPr>
        <w:spacing w:after="160" w:line="276"/>
      </w:pPr>
      <w:r>
        <w:t xml:space="preserve">When Setup = 1, the DPH and its associated data payload together form the setup stage of a control transfer — the very first exchange of any control transfer, described in detail in Section 9.</w:t>
      </w:r>
    </w:p>
    <w:p>
      <w:pPr>
        <w:pStyle w:val="Heading1"/>
        <w:spacing w:after="200" w:before="400"/>
      </w:pPr>
      <w:r>
        <w:t xml:space="preserve">8. Routing and Byte-Level Transfer</w:t>
      </w:r>
    </w:p>
    <w:p>
      <w:pPr>
        <w:pStyle w:val="Heading2"/>
        <w:spacing w:after="150" w:before="300"/>
      </w:pPr>
      <w:r>
        <w:t xml:space="preserve">8.1 Routing field</w:t>
      </w:r>
    </w:p>
    <w:p>
      <w:pPr>
        <w:spacing w:after="160" w:line="276"/>
      </w:pPr>
      <w:r>
        <w:t xml:space="preserve">USB's routing field is what lets a packet find its way down through a chain of hubs to the correct device. The addressing scheme supports a maximum of 5 hubs of depth, encoded in a 20-bit routing field, with the depth itself established by a SetHub Depth request. Each hub level carries 4 bits, supporting up to 16 downstream connections per hub.</w:t>
      </w:r>
    </w:p>
    <w:p>
      <w:pPr>
        <w:pStyle w:val="Heading2"/>
        <w:spacing w:after="150" w:before="300"/>
      </w:pPr>
      <w:r>
        <w:t xml:space="preserve">8.2 How byte transfer works</w:t>
      </w:r>
    </w:p>
    <w:p>
      <w:pPr>
        <w:spacing w:after="160" w:line="276"/>
      </w:pPr>
      <w:r>
        <w:t xml:space="preserve">At the byte level, SuperSpeed's data path is built on top of the physical-layer encoding (8b/10b for Gen1, 128b/132b for Gen2) with the packet framing and CRC protection described in Section 7.5 layered on top. Understanding this path end-to-end — from encoded symbols on the wire, to framed packets, to the protocol-layer transaction — is what lets a verification engineer localize a bug to the right layer instead of guessing.</w:t>
      </w:r>
    </w:p>
    <w:p>
      <w:pPr>
        <w:pStyle w:val="Heading1"/>
        <w:spacing w:after="200" w:before="400"/>
      </w:pPr>
      <w:r>
        <w:t xml:space="preserve">9. USB Control Transfers: Device Enumeration Walkthrough</w:t>
      </w:r>
    </w:p>
    <w:p>
      <w:pPr>
        <w:spacing w:after="160" w:line="276"/>
      </w:pPr>
      <w:r>
        <w:t xml:space="preserve">The most instructive way to internalize everything above is to trace a real enumeration sequence — the process by which a freshly connected device goes from an unaddressed physical link all the way to a configured, addressable USB device. Control transfers follow a consistent two-stage pattern (setup, then data/status), and enumeration itself follows a fixed, well-defined order.</w:t>
      </w:r>
    </w:p>
    <w:p>
      <w:pPr>
        <w:pStyle w:val="Heading2"/>
        <w:spacing w:after="150" w:before="300"/>
      </w:pPr>
      <w:r>
        <w:t xml:space="preserve">9.1 SET_ADDRESS</w:t>
      </w:r>
    </w:p>
    <w:p>
      <w:pPr>
        <w:spacing w:after="160" w:line="276"/>
      </w:pPr>
      <w:r>
        <w:t xml:space="preserve">Endpoint 0 is the default control endpoint present on every USB device, and it's the only endpoint a device can be addressed on before enumeration completes. The host issues SET_ADDRESS to the device's current (default) address of 00h, assigning it a unique address for all subsequent communication. The setup packet's fields tell the story clearly in a capture:</w:t>
      </w:r>
    </w:p>
    <w:p>
      <w:pPr>
        <w:pStyle w:val="ListParagraph"/>
        <w:numPr>
          <w:ilvl w:val="0"/>
          <w:numId w:val="1"/>
        </w:numPr>
        <w:spacing w:after="80"/>
      </w:pPr>
      <w:r>
        <w:t xml:space="preserve">Type = 08 — since this is a Data Packet.</w:t>
      </w:r>
    </w:p>
    <w:p>
      <w:pPr>
        <w:pStyle w:val="ListParagraph"/>
        <w:numPr>
          <w:ilvl w:val="0"/>
          <w:numId w:val="1"/>
        </w:numPr>
        <w:spacing w:after="80"/>
      </w:pPr>
      <w:r>
        <w:t xml:space="preserve">S = 1 — since this is a Setup token.</w:t>
      </w:r>
    </w:p>
    <w:p>
      <w:pPr>
        <w:pStyle w:val="ListParagraph"/>
        <w:numPr>
          <w:ilvl w:val="0"/>
          <w:numId w:val="1"/>
        </w:numPr>
        <w:spacing w:after="80"/>
      </w:pPr>
      <w:r>
        <w:t xml:space="preserve">Sequence Number = 0.</w:t>
      </w:r>
    </w:p>
    <w:p>
      <w:pPr>
        <w:pStyle w:val="ListParagraph"/>
        <w:numPr>
          <w:ilvl w:val="0"/>
          <w:numId w:val="1"/>
        </w:numPr>
        <w:spacing w:after="80"/>
      </w:pPr>
      <w:r>
        <w:t xml:space="preserve">PP = 1 — Packets Pending.</w:t>
      </w:r>
    </w:p>
    <w:p>
      <w:pPr>
        <w:pStyle w:val="ListParagraph"/>
        <w:numPr>
          <w:ilvl w:val="0"/>
          <w:numId w:val="1"/>
        </w:numPr>
        <w:spacing w:after="80"/>
      </w:pPr>
      <w:r>
        <w:t xml:space="preserve">Payload = 8 bytes.</w:t>
      </w:r>
    </w:p>
    <w:p>
      <w:pPr>
        <w:pStyle w:val="ListParagraph"/>
        <w:numPr>
          <w:ilvl w:val="0"/>
          <w:numId w:val="1"/>
        </w:numPr>
        <w:spacing w:after="80"/>
      </w:pPr>
      <w:r>
        <w:t xml:space="preserve">D = 0 — direction is Host to Device.</w:t>
      </w:r>
    </w:p>
    <w:p>
      <w:pPr>
        <w:spacing w:after="160" w:line="276"/>
      </w:pPr>
      <w:r>
        <w:t xml:space="preserve">The device then acknowledges: Seq = 1 confirms receipt of the DATA packet, and NumP = 1 indicates the DPH itself has been received.</w:t>
      </w:r>
    </w:p>
    <w:p>
      <w:pPr>
        <w:pStyle w:val="Heading2"/>
        <w:spacing w:after="150" w:before="300"/>
      </w:pPr>
      <w:r>
        <w:t xml:space="preserve">9.2 Status Stage</w:t>
      </w:r>
    </w:p>
    <w:p>
      <w:pPr>
        <w:spacing w:after="160" w:line="276"/>
      </w:pPr>
      <w:r>
        <w:t xml:space="preserve">Following the data stage, the status stage closes out the transfer — the device signals completion, and both sides return to a state where the next control transfer can begin. This two-stage pattern (data stage, then status stage) repeats for every control transfer described in the rest of this section.</w:t>
      </w:r>
    </w:p>
    <w:p>
      <w:pPr>
        <w:pStyle w:val="Heading2"/>
        <w:spacing w:after="150" w:before="300"/>
      </w:pPr>
      <w:r>
        <w:t xml:space="preserve">9.3 GET_DESCRIPTOR</w:t>
      </w:r>
    </w:p>
    <w:p>
      <w:pPr>
        <w:spacing w:after="160" w:line="276"/>
      </w:pPr>
      <w:r>
        <w:t xml:space="preserve">With an address assigned, the host requests descriptor information from the device via GET_DESCRIPTOR. The wLength field in this request tells the device exactly how much data the host is asking for — the device is expected to respond with no more than that amount, even if the full descriptor is longer.</w:t>
      </w:r>
    </w:p>
    <w:p>
      <w:pPr>
        <w:pStyle w:val="Heading2"/>
        <w:spacing w:after="150" w:before="300"/>
      </w:pPr>
      <w:r>
        <w:t xml:space="preserve">9.4 Device Response Ordering: ACK → ERDY → DPH</w:t>
      </w:r>
    </w:p>
    <w:p>
      <w:pPr>
        <w:spacing w:after="160" w:line="276"/>
      </w:pPr>
      <w:r>
        <w:t xml:space="preserve">The order in which the device responds to a GET_DESCRIPTOR (and similar) request is not incidental and is worth memorizing as a checker condition: ACK first, then ERDY, then the DPH carrying the actual data. This ordering reflects the device first acknowledging the request, then announcing that it's ready to deliver data, and only then actually delivering the header and payload. A capture that shows these three out of order is a strong signal of either a DUT bug or a miswritten test sequence.</w:t>
      </w:r>
    </w:p>
    <w:p>
      <w:pPr>
        <w:pStyle w:val="Heading2"/>
        <w:spacing w:after="150" w:before="300"/>
      </w:pPr>
      <w:r>
        <w:t xml:space="preserve">9.5 SET_CONFIGURATION and GET_CONFIG</w:t>
      </w:r>
    </w:p>
    <w:p>
      <w:pPr>
        <w:spacing w:after="160" w:line="276"/>
      </w:pPr>
      <w:r>
        <w:t xml:space="preserve">Once descriptor information has been read, SET_CONFIGURATION lets the host select which configuration the device should run — a device may support multiple configurations (differing in power requirements or available interfaces), though most modern devices support only one. GET_CONFIG is the corresponding read-back, letting the host (or a test) confirm which configuration is currently active.</w:t>
      </w:r>
    </w:p>
    <w:p>
      <w:pPr>
        <w:pStyle w:val="Heading2"/>
        <w:spacing w:after="150" w:before="300"/>
      </w:pPr>
      <w:r>
        <w:t xml:space="preserve">9.6 GET_INTERFACE</w:t>
      </w:r>
    </w:p>
    <w:p>
      <w:pPr>
        <w:spacing w:after="160" w:line="276"/>
      </w:pPr>
      <w:r>
        <w:t xml:space="preserve">The final step in the walkthrough pulls interface-level descriptor data, typically via a call resembling:</w:t>
      </w:r>
    </w:p>
    <w:p>
      <w:pPr>
        <w:shd w:fill="F2F2F2" w:color="auto" w:val="clear"/>
        <w:spacing w:after="200" w:before="120"/>
      </w:pPr>
      <w:r>
        <w:rPr>
          <w:rFonts w:ascii="Consolas" w:cs="Consolas" w:eastAsia="Consolas" w:hAnsi="Consolas"/>
          <w:sz w:val="18"/>
          <w:szCs w:val="18"/>
        </w:rPr>
        <w:t xml:space="preserve">uint8_t descriptor[9];</w:t>
      </w:r>
      <w:r>
        <w:rPr>
          <w:rFonts w:ascii="Consolas" w:cs="Consolas" w:eastAsia="Consolas" w:hAnsi="Consolas"/>
          <w:sz w:val="18"/>
          <w:szCs w:val="18"/>
        </w:rPr>
        <w:br/>
        <w:t xml:space="preserve">int ret = libusb_get_descriptor(device_handle,</w:t>
      </w:r>
      <w:r>
        <w:rPr>
          <w:rFonts w:ascii="Consolas" w:cs="Consolas" w:eastAsia="Consolas" w:hAnsi="Consolas"/>
          <w:sz w:val="18"/>
          <w:szCs w:val="18"/>
        </w:rPr>
        <w:br/>
        <w:t xml:space="preserve">                               LIBUSB_DT_INTERFACE,  // 0x04 for interface</w:t>
      </w:r>
      <w:r>
        <w:rPr>
          <w:rFonts w:ascii="Consolas" w:cs="Consolas" w:eastAsia="Consolas" w:hAnsi="Consolas"/>
          <w:sz w:val="18"/>
          <w:szCs w:val="18"/>
        </w:rPr>
        <w:br/>
        <w:t xml:space="preserve">                               interface_number,</w:t>
      </w:r>
      <w:r>
        <w:rPr>
          <w:rFonts w:ascii="Consolas" w:cs="Consolas" w:eastAsia="Consolas" w:hAnsi="Consolas"/>
          <w:sz w:val="18"/>
          <w:szCs w:val="18"/>
        </w:rPr>
        <w:br/>
        <w:t xml:space="preserve">                               descriptor,</w:t>
      </w:r>
      <w:r>
        <w:rPr>
          <w:rFonts w:ascii="Consolas" w:cs="Consolas" w:eastAsia="Consolas" w:hAnsi="Consolas"/>
          <w:sz w:val="18"/>
          <w:szCs w:val="18"/>
        </w:rPr>
        <w:br/>
        <w:t xml:space="preserve">                               sizeof(descriptor));</w:t>
      </w:r>
    </w:p>
    <w:p>
      <w:pPr>
        <w:spacing w:after="160" w:line="276"/>
      </w:pPr>
      <w:r>
        <w:t xml:space="preserve">This closes out the interface negotiation. By this point the device has moved from a raw physical connection, through address assignment, descriptor discovery, and configuration selection, to a fully enumerated USB device ready for normal bulk, interrupt, or isochronous traffic.</w:t>
      </w:r>
    </w:p>
    <w:p>
      <w:pPr>
        <w:pStyle w:val="Heading2"/>
        <w:spacing w:after="150" w:before="300"/>
      </w:pPr>
      <w:r>
        <w:t xml:space="preserve">9.7 USB Descriptor Types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4E79" w:color="auto" w:val="clear"/>
            <w:tcMar>
              <w:top w:type="dxa" w:w="80"/>
              <w:left w:type="dxa" w:w="120"/>
              <w:bottom w:type="dxa" w:w="80"/>
              <w:right w:type="dxa" w:w="120"/>
            </w:tcMar>
            <w:vAlign w:val="center"/>
          </w:tcPr>
          <w:p>
            <w:r>
              <w:rPr>
                <w:b/>
                <w:bCs/>
                <w:color w:val="FFFFFF"/>
                <w:sz w:val="20"/>
                <w:szCs w:val="20"/>
              </w:rPr>
              <w:t xml:space="preserve">Descriptor</w:t>
            </w:r>
          </w:p>
        </w:tc>
        <w:tc>
          <w:tcPr>
            <w:tcW w:type="dxa" w:w="6950"/>
            <w:shd w:fill="1F4E79" w:color="auto" w:val="clear"/>
            <w:tcMar>
              <w:top w:type="dxa" w:w="80"/>
              <w:left w:type="dxa" w:w="120"/>
              <w:bottom w:type="dxa" w:w="80"/>
              <w:right w:type="dxa" w:w="120"/>
            </w:tcMar>
            <w:vAlign w:val="center"/>
          </w:tcPr>
          <w:p>
            <w:r>
              <w:rPr>
                <w:b/>
                <w:bCs/>
                <w:color w:val="FFFFFF"/>
                <w:sz w:val="20"/>
                <w:szCs w:val="20"/>
              </w:rPr>
              <w:t xml:space="preserve">Typical Use</w:t>
            </w:r>
          </w:p>
        </w:tc>
      </w:tr>
      <w:tr>
        <w:trPr>
          <w:cantSplit/>
        </w:trP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Device</w:t>
            </w:r>
          </w:p>
        </w:tc>
        <w:tc>
          <w:tcPr>
            <w:tcW w:type="dxa" w:w="6950"/>
            <w:shd w:fill="FFFFFF" w:color="auto" w:val="clear"/>
            <w:tcMar>
              <w:top w:type="dxa" w:w="80"/>
              <w:left w:type="dxa" w:w="120"/>
              <w:bottom w:type="dxa" w:w="80"/>
              <w:right w:type="dxa" w:w="120"/>
            </w:tcMar>
            <w:vAlign w:val="center"/>
          </w:tcPr>
          <w:p>
            <w:r>
              <w:rPr>
                <w:b w:val="false"/>
                <w:bCs w:val="false"/>
                <w:color w:val="000000"/>
                <w:sz w:val="20"/>
                <w:szCs w:val="20"/>
              </w:rPr>
              <w:t xml:space="preserve">Top-level identity: vendor/product ID, device class, number of configurations</w:t>
            </w:r>
          </w:p>
        </w:tc>
      </w:tr>
      <w:tr>
        <w:trPr>
          <w:cantSplit/>
        </w:trPr>
        <w:tc>
          <w:tcPr>
            <w:tcW w:type="dxa" w:w="2400"/>
            <w:shd w:fill="EAF1F8" w:color="auto" w:val="clear"/>
            <w:tcMar>
              <w:top w:type="dxa" w:w="80"/>
              <w:left w:type="dxa" w:w="120"/>
              <w:bottom w:type="dxa" w:w="80"/>
              <w:right w:type="dxa" w:w="120"/>
            </w:tcMar>
            <w:vAlign w:val="center"/>
          </w:tcPr>
          <w:p>
            <w:r>
              <w:rPr>
                <w:b w:val="false"/>
                <w:bCs w:val="false"/>
                <w:color w:val="000000"/>
                <w:sz w:val="20"/>
                <w:szCs w:val="20"/>
              </w:rPr>
              <w:t xml:space="preserve">Configuration</w:t>
            </w:r>
          </w:p>
        </w:tc>
        <w:tc>
          <w:tcPr>
            <w:tcW w:type="dxa" w:w="6950"/>
            <w:shd w:fill="EAF1F8" w:color="auto" w:val="clear"/>
            <w:tcMar>
              <w:top w:type="dxa" w:w="80"/>
              <w:left w:type="dxa" w:w="120"/>
              <w:bottom w:type="dxa" w:w="80"/>
              <w:right w:type="dxa" w:w="120"/>
            </w:tcMar>
            <w:vAlign w:val="center"/>
          </w:tcPr>
          <w:p>
            <w:r>
              <w:rPr>
                <w:b w:val="false"/>
                <w:bCs w:val="false"/>
                <w:color w:val="000000"/>
                <w:sz w:val="20"/>
                <w:szCs w:val="20"/>
              </w:rPr>
              <w:t xml:space="preserve">Power requirements, number of interfaces for a given configuration</w:t>
            </w:r>
          </w:p>
        </w:tc>
      </w:tr>
      <w:tr>
        <w:trPr>
          <w:cantSplit/>
        </w:trP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Interface</w:t>
            </w:r>
          </w:p>
        </w:tc>
        <w:tc>
          <w:tcPr>
            <w:tcW w:type="dxa" w:w="6950"/>
            <w:shd w:fill="FFFFFF" w:color="auto" w:val="clear"/>
            <w:tcMar>
              <w:top w:type="dxa" w:w="80"/>
              <w:left w:type="dxa" w:w="120"/>
              <w:bottom w:type="dxa" w:w="80"/>
              <w:right w:type="dxa" w:w="120"/>
            </w:tcMar>
            <w:vAlign w:val="center"/>
          </w:tcPr>
          <w:p>
            <w:r>
              <w:rPr>
                <w:b w:val="false"/>
                <w:bCs w:val="false"/>
                <w:color w:val="000000"/>
                <w:sz w:val="20"/>
                <w:szCs w:val="20"/>
              </w:rPr>
              <w:t xml:space="preserve">Groups of endpoints implementing a single function</w:t>
            </w:r>
          </w:p>
        </w:tc>
      </w:tr>
      <w:tr>
        <w:trPr>
          <w:cantSplit/>
        </w:trPr>
        <w:tc>
          <w:tcPr>
            <w:tcW w:type="dxa" w:w="2400"/>
            <w:shd w:fill="EAF1F8" w:color="auto" w:val="clear"/>
            <w:tcMar>
              <w:top w:type="dxa" w:w="80"/>
              <w:left w:type="dxa" w:w="120"/>
              <w:bottom w:type="dxa" w:w="80"/>
              <w:right w:type="dxa" w:w="120"/>
            </w:tcMar>
            <w:vAlign w:val="center"/>
          </w:tcPr>
          <w:p>
            <w:r>
              <w:rPr>
                <w:b w:val="false"/>
                <w:bCs w:val="false"/>
                <w:color w:val="000000"/>
                <w:sz w:val="20"/>
                <w:szCs w:val="20"/>
              </w:rPr>
              <w:t xml:space="preserve">Endpoint</w:t>
            </w:r>
          </w:p>
        </w:tc>
        <w:tc>
          <w:tcPr>
            <w:tcW w:type="dxa" w:w="6950"/>
            <w:shd w:fill="EAF1F8" w:color="auto" w:val="clear"/>
            <w:tcMar>
              <w:top w:type="dxa" w:w="80"/>
              <w:left w:type="dxa" w:w="120"/>
              <w:bottom w:type="dxa" w:w="80"/>
              <w:right w:type="dxa" w:w="120"/>
            </w:tcMar>
            <w:vAlign w:val="center"/>
          </w:tcPr>
          <w:p>
            <w:r>
              <w:rPr>
                <w:b w:val="false"/>
                <w:bCs w:val="false"/>
                <w:color w:val="000000"/>
                <w:sz w:val="20"/>
                <w:szCs w:val="20"/>
              </w:rPr>
              <w:t xml:space="preserve">Transfer type, direction, and max packet size for one endpoint</w:t>
            </w:r>
          </w:p>
        </w:tc>
      </w:tr>
      <w:tr>
        <w:trPr>
          <w:cantSplit/>
        </w:trP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6950"/>
            <w:shd w:fill="FFFFFF" w:color="auto" w:val="clear"/>
            <w:tcMar>
              <w:top w:type="dxa" w:w="80"/>
              <w:left w:type="dxa" w:w="120"/>
              <w:bottom w:type="dxa" w:w="80"/>
              <w:right w:type="dxa" w:w="120"/>
            </w:tcMar>
            <w:vAlign w:val="center"/>
          </w:tcPr>
          <w:p>
            <w:r>
              <w:rPr>
                <w:b w:val="false"/>
                <w:bCs w:val="false"/>
                <w:color w:val="000000"/>
                <w:sz w:val="20"/>
                <w:szCs w:val="20"/>
              </w:rPr>
              <w:t xml:space="preserve">Human-readable vendor/product/serial strings (optional, index-referenced)</w:t>
            </w:r>
          </w:p>
        </w:tc>
      </w:tr>
    </w:tbl>
    <w:p>
      <w:pPr>
        <w:pStyle w:val="Heading2"/>
        <w:spacing w:after="150" w:before="300"/>
      </w:pPr>
      <w:r>
        <w:t xml:space="preserve">9.8 Standard Request Byte Fields (Reference)</w:t>
      </w:r>
    </w:p>
    <w:p>
      <w:pPr>
        <w:spacing w:after="160" w:line="276"/>
      </w:pPr>
      <w:r>
        <w:t xml:space="preserve">Each control-transfer request in the walkthrough above is, at the wire level, an 8-byte Setup packet with a fixed field layout. Having the exact bmRequestType and bRequest values on hand makes it far faster to identify a request directly from a hex dump: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1300"/>
        <w:gridCol w:w="3050"/>
      </w:tblGrid>
      <w:tr>
        <w:trPr>
          <w:tblHeader/>
        </w:trPr>
        <w:tc>
          <w:tcPr>
            <w:tcW w:type="dxa" w:w="2300"/>
            <w:shd w:fill="1F4E79" w:color="auto" w:val="clear"/>
            <w:tcMar>
              <w:top w:type="dxa" w:w="80"/>
              <w:left w:type="dxa" w:w="120"/>
              <w:bottom w:type="dxa" w:w="80"/>
              <w:right w:type="dxa" w:w="120"/>
            </w:tcMar>
            <w:vAlign w:val="center"/>
          </w:tcPr>
          <w:p>
            <w:r>
              <w:rPr>
                <w:b/>
                <w:bCs/>
                <w:color w:val="FFFFFF"/>
                <w:sz w:val="20"/>
                <w:szCs w:val="20"/>
              </w:rPr>
              <w:t xml:space="preserve">Request</w:t>
            </w:r>
          </w:p>
        </w:tc>
        <w:tc>
          <w:tcPr>
            <w:tcW w:type="dxa" w:w="2700"/>
            <w:shd w:fill="1F4E79" w:color="auto" w:val="clear"/>
            <w:tcMar>
              <w:top w:type="dxa" w:w="80"/>
              <w:left w:type="dxa" w:w="120"/>
              <w:bottom w:type="dxa" w:w="80"/>
              <w:right w:type="dxa" w:w="120"/>
            </w:tcMar>
            <w:vAlign w:val="center"/>
          </w:tcPr>
          <w:p>
            <w:r>
              <w:rPr>
                <w:b/>
                <w:bCs/>
                <w:color w:val="FFFFFF"/>
                <w:sz w:val="20"/>
                <w:szCs w:val="20"/>
              </w:rPr>
              <w:t xml:space="preserve">bmRequestType</w:t>
            </w:r>
          </w:p>
        </w:tc>
        <w:tc>
          <w:tcPr>
            <w:tcW w:type="dxa" w:w="1300"/>
            <w:shd w:fill="1F4E79" w:color="auto" w:val="clear"/>
            <w:tcMar>
              <w:top w:type="dxa" w:w="80"/>
              <w:left w:type="dxa" w:w="120"/>
              <w:bottom w:type="dxa" w:w="80"/>
              <w:right w:type="dxa" w:w="120"/>
            </w:tcMar>
            <w:vAlign w:val="center"/>
          </w:tcPr>
          <w:p>
            <w:r>
              <w:rPr>
                <w:b/>
                <w:bCs/>
                <w:color w:val="FFFFFF"/>
                <w:sz w:val="20"/>
                <w:szCs w:val="20"/>
              </w:rPr>
              <w:t xml:space="preserve">bRequest</w:t>
            </w:r>
          </w:p>
        </w:tc>
        <w:tc>
          <w:tcPr>
            <w:tcW w:type="dxa" w:w="3050"/>
            <w:shd w:fill="1F4E79" w:color="auto" w:val="clear"/>
            <w:tcMar>
              <w:top w:type="dxa" w:w="80"/>
              <w:left w:type="dxa" w:w="120"/>
              <w:bottom w:type="dxa" w:w="80"/>
              <w:right w:type="dxa" w:w="120"/>
            </w:tcMar>
            <w:vAlign w:val="center"/>
          </w:tcPr>
          <w:p>
            <w:r>
              <w:rPr>
                <w:b/>
                <w:bCs/>
                <w:color w:val="FFFFFF"/>
                <w:sz w:val="20"/>
                <w:szCs w:val="20"/>
              </w:rPr>
              <w:t xml:space="preserve">wValue / wIndex / wLength</w:t>
            </w:r>
          </w:p>
        </w:tc>
      </w:tr>
      <w:tr>
        <w:trPr>
          <w:cantSplit/>
        </w:trPr>
        <w:tc>
          <w:tcPr>
            <w:tcW w:type="dxa" w:w="2300"/>
            <w:shd w:fill="FFFFFF" w:color="auto" w:val="clear"/>
            <w:tcMar>
              <w:top w:type="dxa" w:w="80"/>
              <w:left w:type="dxa" w:w="120"/>
              <w:bottom w:type="dxa" w:w="80"/>
              <w:right w:type="dxa" w:w="120"/>
            </w:tcMar>
            <w:vAlign w:val="center"/>
          </w:tcPr>
          <w:p>
            <w:r>
              <w:rPr>
                <w:b w:val="false"/>
                <w:bCs w:val="false"/>
                <w:color w:val="000000"/>
                <w:sz w:val="20"/>
                <w:szCs w:val="20"/>
              </w:rPr>
              <w:t xml:space="preserve">SET_ADDRESS</w:t>
            </w:r>
          </w:p>
        </w:tc>
        <w:tc>
          <w:tcPr>
            <w:tcW w:type="dxa" w:w="2700"/>
            <w:shd w:fill="FFFFFF" w:color="auto" w:val="clear"/>
            <w:tcMar>
              <w:top w:type="dxa" w:w="80"/>
              <w:left w:type="dxa" w:w="120"/>
              <w:bottom w:type="dxa" w:w="80"/>
              <w:right w:type="dxa" w:w="120"/>
            </w:tcMar>
            <w:vAlign w:val="center"/>
          </w:tcPr>
          <w:p>
            <w:r>
              <w:rPr>
                <w:b w:val="false"/>
                <w:bCs w:val="false"/>
                <w:color w:val="000000"/>
                <w:sz w:val="20"/>
                <w:szCs w:val="20"/>
              </w:rPr>
              <w:t xml:space="preserve">00h (host→device, standard, device)</w:t>
            </w:r>
          </w:p>
        </w:tc>
        <w:tc>
          <w:tcPr>
            <w:tcW w:type="dxa" w:w="1300"/>
            <w:shd w:fill="FFFFFF" w:color="auto" w:val="clear"/>
            <w:tcMar>
              <w:top w:type="dxa" w:w="80"/>
              <w:left w:type="dxa" w:w="120"/>
              <w:bottom w:type="dxa" w:w="80"/>
              <w:right w:type="dxa" w:w="120"/>
            </w:tcMar>
            <w:vAlign w:val="center"/>
          </w:tcPr>
          <w:p>
            <w:r>
              <w:rPr>
                <w:b w:val="false"/>
                <w:bCs w:val="false"/>
                <w:color w:val="000000"/>
                <w:sz w:val="20"/>
                <w:szCs w:val="20"/>
              </w:rPr>
              <w:t xml:space="preserve">05h</w:t>
            </w:r>
          </w:p>
        </w:tc>
        <w:tc>
          <w:tcPr>
            <w:tcW w:type="dxa" w:w="3050"/>
            <w:shd w:fill="FFFFFF" w:color="auto" w:val="clear"/>
            <w:tcMar>
              <w:top w:type="dxa" w:w="80"/>
              <w:left w:type="dxa" w:w="120"/>
              <w:bottom w:type="dxa" w:w="80"/>
              <w:right w:type="dxa" w:w="120"/>
            </w:tcMar>
            <w:vAlign w:val="center"/>
          </w:tcPr>
          <w:p>
            <w:r>
              <w:rPr>
                <w:b w:val="false"/>
                <w:bCs w:val="false"/>
                <w:color w:val="000000"/>
                <w:sz w:val="20"/>
                <w:szCs w:val="20"/>
              </w:rPr>
              <w:t xml:space="preserve">wValue = new address; wIndex = 00h; wLength = 00h</w:t>
            </w:r>
          </w:p>
        </w:tc>
      </w:tr>
      <w:tr>
        <w:trPr>
          <w:cantSplit/>
        </w:trPr>
        <w:tc>
          <w:tcPr>
            <w:tcW w:type="dxa" w:w="2300"/>
            <w:shd w:fill="EAF1F8" w:color="auto" w:val="clear"/>
            <w:tcMar>
              <w:top w:type="dxa" w:w="80"/>
              <w:left w:type="dxa" w:w="120"/>
              <w:bottom w:type="dxa" w:w="80"/>
              <w:right w:type="dxa" w:w="120"/>
            </w:tcMar>
            <w:vAlign w:val="center"/>
          </w:tcPr>
          <w:p>
            <w:r>
              <w:rPr>
                <w:b w:val="false"/>
                <w:bCs w:val="false"/>
                <w:color w:val="000000"/>
                <w:sz w:val="20"/>
                <w:szCs w:val="20"/>
              </w:rPr>
              <w:t xml:space="preserve">GET_DESCRIPTOR</w:t>
            </w:r>
          </w:p>
        </w:tc>
        <w:tc>
          <w:tcPr>
            <w:tcW w:type="dxa" w:w="2700"/>
            <w:shd w:fill="EAF1F8" w:color="auto" w:val="clear"/>
            <w:tcMar>
              <w:top w:type="dxa" w:w="80"/>
              <w:left w:type="dxa" w:w="120"/>
              <w:bottom w:type="dxa" w:w="80"/>
              <w:right w:type="dxa" w:w="120"/>
            </w:tcMar>
            <w:vAlign w:val="center"/>
          </w:tcPr>
          <w:p>
            <w:r>
              <w:rPr>
                <w:b w:val="false"/>
                <w:bCs w:val="false"/>
                <w:color w:val="000000"/>
                <w:sz w:val="20"/>
                <w:szCs w:val="20"/>
              </w:rPr>
              <w:t xml:space="preserve">80h (1000_0000b, device→host)</w:t>
            </w:r>
          </w:p>
        </w:tc>
        <w:tc>
          <w:tcPr>
            <w:tcW w:type="dxa" w:w="1300"/>
            <w:shd w:fill="EAF1F8" w:color="auto" w:val="clear"/>
            <w:tcMar>
              <w:top w:type="dxa" w:w="80"/>
              <w:left w:type="dxa" w:w="120"/>
              <w:bottom w:type="dxa" w:w="80"/>
              <w:right w:type="dxa" w:w="120"/>
            </w:tcMar>
            <w:vAlign w:val="center"/>
          </w:tcPr>
          <w:p>
            <w:r>
              <w:rPr>
                <w:b w:val="false"/>
                <w:bCs w:val="false"/>
                <w:color w:val="000000"/>
                <w:sz w:val="20"/>
                <w:szCs w:val="20"/>
              </w:rPr>
              <w:t xml:space="preserve">06h</w:t>
            </w:r>
          </w:p>
        </w:tc>
        <w:tc>
          <w:tcPr>
            <w:tcW w:type="dxa" w:w="3050"/>
            <w:shd w:fill="EAF1F8" w:color="auto" w:val="clear"/>
            <w:tcMar>
              <w:top w:type="dxa" w:w="80"/>
              <w:left w:type="dxa" w:w="120"/>
              <w:bottom w:type="dxa" w:w="80"/>
              <w:right w:type="dxa" w:w="120"/>
            </w:tcMar>
            <w:vAlign w:val="center"/>
          </w:tcPr>
          <w:p>
            <w:r>
              <w:rPr>
                <w:b w:val="false"/>
                <w:bCs w:val="false"/>
                <w:color w:val="000000"/>
                <w:sz w:val="20"/>
                <w:szCs w:val="20"/>
              </w:rPr>
              <w:t xml:space="preserve">wLength = 18 (0x12) for a device descriptor</w:t>
            </w:r>
          </w:p>
        </w:tc>
      </w:tr>
      <w:tr>
        <w:trPr>
          <w:cantSplit/>
        </w:trPr>
        <w:tc>
          <w:tcPr>
            <w:tcW w:type="dxa" w:w="2300"/>
            <w:shd w:fill="FFFFFF" w:color="auto" w:val="clear"/>
            <w:tcMar>
              <w:top w:type="dxa" w:w="80"/>
              <w:left w:type="dxa" w:w="120"/>
              <w:bottom w:type="dxa" w:w="80"/>
              <w:right w:type="dxa" w:w="120"/>
            </w:tcMar>
            <w:vAlign w:val="center"/>
          </w:tcPr>
          <w:p>
            <w:r>
              <w:rPr>
                <w:b w:val="false"/>
                <w:bCs w:val="false"/>
                <w:color w:val="000000"/>
                <w:sz w:val="20"/>
                <w:szCs w:val="20"/>
              </w:rPr>
              <w:t xml:space="preserve">GET_CONFIGURATION</w:t>
            </w:r>
          </w:p>
        </w:tc>
        <w:tc>
          <w:tcPr>
            <w:tcW w:type="dxa" w:w="2700"/>
            <w:shd w:fill="FFFFFF" w:color="auto" w:val="clear"/>
            <w:tcMar>
              <w:top w:type="dxa" w:w="80"/>
              <w:left w:type="dxa" w:w="120"/>
              <w:bottom w:type="dxa" w:w="80"/>
              <w:right w:type="dxa" w:w="120"/>
            </w:tcMar>
            <w:vAlign w:val="center"/>
          </w:tcPr>
          <w:p>
            <w:r>
              <w:rPr>
                <w:b w:val="false"/>
                <w:bCs w:val="false"/>
                <w:color w:val="000000"/>
                <w:sz w:val="20"/>
                <w:szCs w:val="20"/>
              </w:rPr>
              <w:t xml:space="preserve">80h (1000_0000b, device→host)</w:t>
            </w:r>
          </w:p>
        </w:tc>
        <w:tc>
          <w:tcPr>
            <w:tcW w:type="dxa" w:w="1300"/>
            <w:shd w:fill="FFFFFF" w:color="auto" w:val="clear"/>
            <w:tcMar>
              <w:top w:type="dxa" w:w="80"/>
              <w:left w:type="dxa" w:w="120"/>
              <w:bottom w:type="dxa" w:w="80"/>
              <w:right w:type="dxa" w:w="120"/>
            </w:tcMar>
            <w:vAlign w:val="center"/>
          </w:tcPr>
          <w:p>
            <w:r>
              <w:rPr>
                <w:b w:val="false"/>
                <w:bCs w:val="false"/>
                <w:color w:val="000000"/>
                <w:sz w:val="20"/>
                <w:szCs w:val="20"/>
              </w:rPr>
              <w:t xml:space="preserve">08h</w:t>
            </w:r>
          </w:p>
        </w:tc>
        <w:tc>
          <w:tcPr>
            <w:tcW w:type="dxa" w:w="3050"/>
            <w:shd w:fill="FFFFFF" w:color="auto" w:val="clear"/>
            <w:tcMar>
              <w:top w:type="dxa" w:w="80"/>
              <w:left w:type="dxa" w:w="120"/>
              <w:bottom w:type="dxa" w:w="80"/>
              <w:right w:type="dxa" w:w="120"/>
            </w:tcMar>
            <w:vAlign w:val="center"/>
          </w:tcPr>
          <w:p>
            <w:r>
              <w:rPr>
                <w:b w:val="false"/>
                <w:bCs w:val="false"/>
                <w:color w:val="000000"/>
                <w:sz w:val="20"/>
                <w:szCs w:val="20"/>
              </w:rPr>
              <w:t xml:space="preserve">wLength = 1 (single configuration-value byte)</w:t>
            </w:r>
          </w:p>
        </w:tc>
      </w:tr>
      <w:tr>
        <w:trPr>
          <w:cantSplit/>
        </w:trPr>
        <w:tc>
          <w:tcPr>
            <w:tcW w:type="dxa" w:w="2300"/>
            <w:shd w:fill="EAF1F8" w:color="auto" w:val="clear"/>
            <w:tcMar>
              <w:top w:type="dxa" w:w="80"/>
              <w:left w:type="dxa" w:w="120"/>
              <w:bottom w:type="dxa" w:w="80"/>
              <w:right w:type="dxa" w:w="120"/>
            </w:tcMar>
            <w:vAlign w:val="center"/>
          </w:tcPr>
          <w:p>
            <w:r>
              <w:rPr>
                <w:b w:val="false"/>
                <w:bCs w:val="false"/>
                <w:color w:val="000000"/>
                <w:sz w:val="20"/>
                <w:szCs w:val="20"/>
              </w:rPr>
              <w:t xml:space="preserve">SET_CONFIGURATION</w:t>
            </w:r>
          </w:p>
        </w:tc>
        <w:tc>
          <w:tcPr>
            <w:tcW w:type="dxa" w:w="2700"/>
            <w:shd w:fill="EAF1F8" w:color="auto" w:val="clear"/>
            <w:tcMar>
              <w:top w:type="dxa" w:w="80"/>
              <w:left w:type="dxa" w:w="120"/>
              <w:bottom w:type="dxa" w:w="80"/>
              <w:right w:type="dxa" w:w="120"/>
            </w:tcMar>
            <w:vAlign w:val="center"/>
          </w:tcPr>
          <w:p>
            <w:r>
              <w:rPr>
                <w:b w:val="false"/>
                <w:bCs w:val="false"/>
                <w:color w:val="000000"/>
                <w:sz w:val="20"/>
                <w:szCs w:val="20"/>
              </w:rPr>
              <w:t xml:space="preserve">00h (host→device, standard, device)</w:t>
            </w:r>
          </w:p>
        </w:tc>
        <w:tc>
          <w:tcPr>
            <w:tcW w:type="dxa" w:w="1300"/>
            <w:shd w:fill="EAF1F8" w:color="auto" w:val="clear"/>
            <w:tcMar>
              <w:top w:type="dxa" w:w="80"/>
              <w:left w:type="dxa" w:w="120"/>
              <w:bottom w:type="dxa" w:w="80"/>
              <w:right w:type="dxa" w:w="120"/>
            </w:tcMar>
            <w:vAlign w:val="center"/>
          </w:tcPr>
          <w:p>
            <w:r>
              <w:rPr>
                <w:b w:val="false"/>
                <w:bCs w:val="false"/>
                <w:color w:val="000000"/>
                <w:sz w:val="20"/>
                <w:szCs w:val="20"/>
              </w:rPr>
              <w:t xml:space="preserve">09h</w:t>
            </w:r>
          </w:p>
        </w:tc>
        <w:tc>
          <w:tcPr>
            <w:tcW w:type="dxa" w:w="3050"/>
            <w:shd w:fill="EAF1F8" w:color="auto" w:val="clear"/>
            <w:tcMar>
              <w:top w:type="dxa" w:w="80"/>
              <w:left w:type="dxa" w:w="120"/>
              <w:bottom w:type="dxa" w:w="80"/>
              <w:right w:type="dxa" w:w="120"/>
            </w:tcMar>
            <w:vAlign w:val="center"/>
          </w:tcPr>
          <w:p>
            <w:r>
              <w:rPr>
                <w:b w:val="false"/>
                <w:bCs w:val="false"/>
                <w:color w:val="000000"/>
                <w:sz w:val="20"/>
                <w:szCs w:val="20"/>
              </w:rPr>
              <w:t xml:space="preserve">wValue = configuration value to select</w:t>
            </w:r>
          </w:p>
        </w:tc>
      </w:tr>
    </w:tbl>
    <w:p>
      <w:pPr>
        <w:pBdr>
          <w:left w:val="single" w:color="1F4E79" w:sz="12" w:space="8"/>
        </w:pBdr>
        <w:spacing w:after="200" w:before="80"/>
        <w:ind w:left="360"/>
      </w:pPr>
      <w:r>
        <w:rPr>
          <w:i/>
          <w:iCs/>
          <w:color w:val="595959"/>
          <w:sz w:val="20"/>
          <w:szCs w:val="20"/>
        </w:rPr>
        <w:t xml:space="preserve">Verification tip: bmRequestType's top bit (0x80) is the fastest field to eyeball — 0 means host-to-device (SET_*), 1 means device-to-host (GET_*). Confirming that bit alone catches a large share of miswired request-direction bugs.</w:t>
      </w:r>
    </w:p>
    <w:p>
      <w:pPr>
        <w:pStyle w:val="Heading1"/>
        <w:spacing w:after="200" w:before="400"/>
      </w:pPr>
      <w:r>
        <w:t xml:space="preserve">10. xHCI Firmware Implementation: TRBs, Rings, and Contexts</w:t>
      </w:r>
    </w:p>
    <w:p>
      <w:pPr>
        <w:spacing w:after="160" w:line="276"/>
      </w:pPr>
      <w:r>
        <w:t xml:space="preserve">Everything in Section 9 describes control transfers from the wire's perspective. This section drops down one more layer, to how host-controller firmware built against an xHCI-style register interface actually drives those transfers — Transfer Request Blocks, command and event rings, and the per-endpoint context structures that track it all.</w:t>
      </w:r>
    </w:p>
    <w:p>
      <w:pPr>
        <w:pStyle w:val="Heading2"/>
        <w:spacing w:after="150" w:before="300"/>
      </w:pPr>
      <w:r>
        <w:t xml:space="preserve">10.1 Transfer Request Blocks (TRBs)</w:t>
      </w:r>
    </w:p>
    <w:p>
      <w:pPr>
        <w:spacing w:after="160" w:line="276"/>
      </w:pPr>
      <w:r>
        <w:t xml:space="preserve">Control endpoint transfers are built from three TRB types — Setup Stage, Data Stage, and Status Stage — but the Data Stage and Status Stage TRBs are only meaningful on the default control endpoint (EP0). Every other endpoint type (bulk, interrupt, isochronous) uses only Normal TRBs for its transfers; there's no setup/data/status split once you're off EP0.</w:t>
      </w:r>
    </w:p>
    <w:p>
      <w:pPr>
        <w:pStyle w:val="Heading2"/>
        <w:spacing w:after="150" w:before="300"/>
      </w:pPr>
      <w:r>
        <w:t xml:space="preserve">10.2 Device and Endpoint Initialization</w:t>
      </w:r>
    </w:p>
    <w:p>
      <w:pPr>
        <w:spacing w:after="160" w:line="276"/>
      </w:pPr>
      <w:r>
        <w:t xml:space="preserve">Device bring-up initializes endpoint contexts for the control endpoint plus, in this implementation, one additional bulk-streaming endpoint. The Initialise Device API sets up EP0 first — this is the Initialise EP0 step.</w:t>
      </w:r>
    </w:p>
    <w:p>
      <w:pPr>
        <w:spacing w:after="160" w:line="276"/>
      </w:pPr>
      <w:r>
        <w:t xml:space="preserve">Update EP0 Config follows, and its register-level fields are worth having memorized when debugging a firmware trace:</w:t>
      </w:r>
    </w:p>
    <w:p>
      <w:pPr>
        <w:pStyle w:val="ListParagraph"/>
        <w:numPr>
          <w:ilvl w:val="0"/>
          <w:numId w:val="1"/>
        </w:numPr>
        <w:spacing w:after="80"/>
      </w:pPr>
      <w:r>
        <w:t xml:space="preserve">Data field 0x0200 = 512 — the Max Packet Size (MPS) being configured.</w:t>
      </w:r>
    </w:p>
    <w:p>
      <w:pPr>
        <w:pStyle w:val="ListParagraph"/>
        <w:numPr>
          <w:ilvl w:val="0"/>
          <w:numId w:val="1"/>
        </w:numPr>
        <w:spacing w:after="80"/>
      </w:pPr>
      <w:r>
        <w:t xml:space="preserve">Command control register 0x20013 — encodes the EP0 Config command (command type = 1 for EP0 Config, with the command-active and IOC bits also set).</w:t>
      </w:r>
    </w:p>
    <w:p>
      <w:pPr>
        <w:pStyle w:val="ListParagraph"/>
        <w:numPr>
          <w:ilvl w:val="0"/>
          <w:numId w:val="1"/>
        </w:numPr>
        <w:spacing w:after="80"/>
      </w:pPr>
      <w:r>
        <w:t xml:space="preserve">A command control register readback of 0x2 doesn't need to be chased down — that field is read-only, so a 0x2 there is inconsequential.</w:t>
      </w:r>
    </w:p>
    <w:p>
      <w:pPr>
        <w:spacing w:after="160" w:line="276"/>
      </w:pPr>
      <w:r>
        <w:t xml:space="preserve">Other device contexts are then prepared, in turn, for initializing the remaining endpoint contexts.</w:t>
      </w:r>
    </w:p>
    <w:p>
      <w:pPr>
        <w:pStyle w:val="Heading2"/>
        <w:spacing w:after="150" w:before="300"/>
      </w:pPr>
      <w:r>
        <w:t xml:space="preserve">10.3 Endpoint Context Structure</w:t>
      </w:r>
    </w:p>
    <w:p>
      <w:pPr>
        <w:spacing w:after="160" w:line="276"/>
      </w:pPr>
      <w:r>
        <w:t xml:space="preserve">The endpoint context is the per-endpoint state structure the controller firmware maintains for scheduling and tracking transfers. It's worth noting the structure size isn't universal across implementations — in this Coreva-based implementation, the endpoint context is trimmed down to 16 bytes.</w:t>
      </w:r>
    </w:p>
    <w:p>
      <w:pPr>
        <w:pStyle w:val="Heading2"/>
        <w:spacing w:after="150" w:before="300"/>
      </w:pPr>
      <w:r>
        <w:t xml:space="preserve">10.4 Command Rings</w:t>
      </w:r>
    </w:p>
    <w:p>
      <w:pPr>
        <w:spacing w:after="160" w:line="276"/>
      </w:pPr>
      <w:r>
        <w:t xml:space="preserve">The Command Ring follows a classic producer/consumer model: software is the producer, hardware (the controller) is the consumer. A few initialization details are easy to get wrong when bringing up a new firmware stack:</w:t>
      </w:r>
    </w:p>
    <w:p>
      <w:pPr>
        <w:pStyle w:val="ListParagraph"/>
        <w:numPr>
          <w:ilvl w:val="0"/>
          <w:numId w:val="1"/>
        </w:numPr>
        <w:spacing w:after="80"/>
      </w:pPr>
      <w:r>
        <w:t xml:space="preserve">On initialization, every TRB in the ring is zeroed — which means every cycle bit starts at 0.</w:t>
      </w:r>
    </w:p>
    <w:p>
      <w:pPr>
        <w:pStyle w:val="ListParagraph"/>
        <w:numPr>
          <w:ilvl w:val="0"/>
          <w:numId w:val="1"/>
        </w:numPr>
        <w:spacing w:after="80"/>
      </w:pPr>
      <w:r>
        <w:t xml:space="preserve">Producer Cycle State (PCS) and Consumer Cycle State (CCS) both start at 1, not 0 — the mismatch against the zeroed TRBs is intentional and is exactly what lets the consumer detect valid, not-yet-consumed entries.</w:t>
      </w:r>
    </w:p>
    <w:p>
      <w:pPr>
        <w:pStyle w:val="ListParagraph"/>
        <w:numPr>
          <w:ilvl w:val="0"/>
          <w:numId w:val="1"/>
        </w:numPr>
        <w:spacing w:after="80"/>
      </w:pPr>
      <w:r>
        <w:t xml:space="preserve">When software places a new TRB on the ring, it sets that TRB's cycle bit to match the current PCS (1).</w:t>
      </w:r>
    </w:p>
    <w:p>
      <w:pPr>
        <w:pStyle w:val="ListParagraph"/>
        <w:numPr>
          <w:ilvl w:val="0"/>
          <w:numId w:val="1"/>
        </w:numPr>
        <w:spacing w:after="80"/>
      </w:pPr>
      <w:r>
        <w:t xml:space="preserve">The ring keeps advancing forward, flipping the cycle bit as it goes, so the producer/consumer cycle-bit convention stays self-consistent across a full wrap of the ring.</w:t>
      </w:r>
    </w:p>
    <w:p>
      <w:pPr>
        <w:pBdr>
          <w:left w:val="single" w:color="1F4E79" w:sz="12" w:space="8"/>
        </w:pBdr>
        <w:spacing w:after="200" w:before="80"/>
        <w:ind w:left="360"/>
      </w:pPr>
      <w:r>
        <w:rPr>
          <w:i/>
          <w:iCs/>
          <w:color w:val="595959"/>
          <w:sz w:val="20"/>
          <w:szCs w:val="20"/>
        </w:rPr>
        <w:t xml:space="preserve">Verification tip: a stale or mismatched cycle bit after a ring wrap is a classic silent-hang bug — the consumer simply stops seeing “new” TRBs and nothing else in the trace looks obviously wrong.</w:t>
      </w:r>
    </w:p>
    <w:p>
      <w:pPr>
        <w:pStyle w:val="Heading2"/>
        <w:spacing w:after="150" w:before="300"/>
      </w:pPr>
      <w:r>
        <w:t xml:space="preserve">10.5 Event Rings</w:t>
      </w:r>
    </w:p>
    <w:p>
      <w:pPr>
        <w:spacing w:after="160" w:line="276"/>
      </w:pPr>
      <w:r>
        <w:t xml:space="preserve">Event Rings report command and transfer completions back to software. For this Coreva/Corigine USB implementation, the Event Ring Segment Table (ERST) size is capped at 15 entries — a limit worth checking against whenever an event appears to have been silently dropped rather than reported.</w:t>
      </w:r>
    </w:p>
    <w:p>
      <w:pPr>
        <w:pStyle w:val="Heading2"/>
        <w:spacing w:after="150" w:before="300"/>
      </w:pPr>
      <w:r>
        <w:t xml:space="preserve">10.6 Endpoint Enumeration Limits: Why MAX_PEI Is 32</w:t>
      </w:r>
    </w:p>
    <w:p>
      <w:pPr>
        <w:spacing w:after="160" w:line="276"/>
      </w:pPr>
      <w:r>
        <w:t xml:space="preserve">Two implementation constants govern how many physical endpoints the firmware can track: MAX_PEI (32) and MAX_PEP (16). The indexing convention behind these numbers matters for any code that walks endpoint state directly:</w:t>
      </w:r>
    </w:p>
    <w:p>
      <w:pPr>
        <w:pStyle w:val="ListParagraph"/>
        <w:numPr>
          <w:ilvl w:val="0"/>
          <w:numId w:val="1"/>
        </w:numPr>
        <w:spacing w:after="80"/>
      </w:pPr>
      <w:r>
        <w:t xml:space="preserve">Physical Endpoint Index 0 is EP0, outbound.</w:t>
      </w:r>
    </w:p>
    <w:p>
      <w:pPr>
        <w:pStyle w:val="ListParagraph"/>
        <w:numPr>
          <w:ilvl w:val="0"/>
          <w:numId w:val="1"/>
        </w:numPr>
        <w:spacing w:after="80"/>
      </w:pPr>
      <w:r>
        <w:t xml:space="preserve">Physical Endpoint Index 1 is reserved and must not be used.</w:t>
      </w:r>
    </w:p>
    <w:p>
      <w:pPr>
        <w:pStyle w:val="ListParagraph"/>
        <w:numPr>
          <w:ilvl w:val="0"/>
          <w:numId w:val="1"/>
        </w:numPr>
        <w:spacing w:after="80"/>
      </w:pPr>
      <w:r>
        <w:t xml:space="preserve">The rest of the endpoints follow an outbound-then-inbound pairing convention.</w:t>
      </w:r>
    </w:p>
    <w:p>
      <w:pPr>
        <w:pStyle w:val="ListParagraph"/>
        <w:numPr>
          <w:ilvl w:val="0"/>
          <w:numId w:val="1"/>
        </w:numPr>
        <w:spacing w:after="80"/>
      </w:pPr>
      <w:r>
        <w:t xml:space="preserve">Which endpoints are actually active is controlled in main.c, and enabling an endpoint there requires keeping the enable bitmap in sync with exactly which endpoints are turned on.</w:t>
      </w:r>
    </w:p>
    <w:p>
      <w:pPr>
        <w:pStyle w:val="Heading2"/>
        <w:spacing w:after="150" w:before="300"/>
      </w:pPr>
      <w:r>
        <w:t xml:space="preserve">10.7 The Enumeration Sequence in Firmware</w:t>
      </w:r>
    </w:p>
    <w:p>
      <w:pPr>
        <w:spacing w:after="160" w:line="276"/>
      </w:pPr>
      <w:r>
        <w:t xml:space="preserve">Successful enumeration is the point at which a USB device becomes safe to use for real traffic. Per the implementation notes, initialization requires the firmware to issue an Address Device-style command (informally “Get-Address” in the source notes) and several related commands to the xHCI controller; correctly issuing those commands and correctly receiving the matching completion events is called out as the next major implementation milestone after basic bring-up.</w:t>
      </w:r>
    </w:p>
    <w:p>
      <w:pPr>
        <w:spacing w:after="160" w:line="276"/>
      </w:pPr>
      <w:r>
        <w:t xml:space="preserve">Two of the control transfers from Section 9 look different from the firmware side than they do on the wire:</w:t>
      </w:r>
    </w:p>
    <w:p>
      <w:pPr>
        <w:pStyle w:val="ListParagraph"/>
        <w:numPr>
          <w:ilvl w:val="0"/>
          <w:numId w:val="1"/>
        </w:numPr>
        <w:spacing w:after="80"/>
      </w:pPr>
      <w:r>
        <w:t xml:space="preserve">SET_ADDRESS (firmware view): the new address is written into the Address Device command's Parameter 0, the command is activated, IOC (interrupt-on-completion) is set, a Status TRB is queued, and the doorbell is rung for Physical Endpoint Index 0 (the control endpoint, no stream).</w:t>
      </w:r>
    </w:p>
    <w:p>
      <w:pPr>
        <w:pStyle w:val="ListParagraph"/>
        <w:numPr>
          <w:ilvl w:val="0"/>
          <w:numId w:val="1"/>
        </w:numPr>
        <w:spacing w:after="80"/>
      </w:pPr>
      <w:r>
        <w:t xml:space="preserve">SET_CONFIGURATION (firmware view): this is where endpoints other than EP0 actually get configured — EP0's configuration happened earlier during device initialization (Section 10.2). Enabling control for these additional endpoints is maintained in main.c, and their endpoint contexts are enabled as part of this step.</w:t>
      </w:r>
    </w:p>
    <w:p>
      <w:pPr>
        <w:pStyle w:val="Heading1"/>
        <w:spacing w:after="200" w:before="400"/>
      </w:pPr>
      <w:r>
        <w:t xml:space="preserve">11. USB-SSP (SuperSpeed Plus)</w:t>
      </w:r>
    </w:p>
    <w:p>
      <w:pPr>
        <w:spacing w:after="160" w:line="276"/>
      </w:pPr>
      <w:r>
        <w:t xml:space="preserve">USB-SSP extends the SuperSpeed link model to higher signaling rates and multi-lane operation. The link-training and polling concepts described in Section 4 still apply, but SSP layers additional polling and lane-configuration behavior on top — including the port-role and lane-negotiation flow captured in the reference deck's polling flowchart. From a verification standpoint, SSP testbenches need everything a single-lane SuperSpeed testbench needs, plus explicit coverage of lane-count negotiation and per-lane training convergence.</w:t>
      </w:r>
    </w:p>
    <w:p>
      <w:pPr>
        <w:pStyle w:val="Heading1"/>
        <w:spacing w:after="200" w:before="400"/>
      </w:pPr>
      <w:r>
        <w:t xml:space="preserve">12. Verification Checklist and Common Bug Patterns</w:t>
      </w:r>
    </w:p>
    <w:p>
      <w:pPr>
        <w:spacing w:after="160" w:line="276"/>
      </w:pPr>
      <w:r>
        <w:t xml:space="preserve">Pulling the whole guide together, here is a layer-by-layer checklist worth running through whenever a SuperSpeed test fails in a way that isn't immediately obvious:</w:t>
      </w:r>
    </w:p>
    <w:p>
      <w:pPr>
        <w:pStyle w:val="ListParagraph"/>
        <w:numPr>
          <w:ilvl w:val="0"/>
          <w:numId w:val="1"/>
        </w:numPr>
        <w:spacing w:after="80"/>
      </w:pPr>
      <w:r>
        <w:t xml:space="preserve">Link training: did the LTSSM actually reach U0 before the failing transaction, and did it stay there? A mid-transfer recovery excursion invalidates assumptions about sequence numbers and pending packets downstream of it.</w:t>
      </w:r>
    </w:p>
    <w:p>
      <w:pPr>
        <w:pStyle w:val="ListParagraph"/>
        <w:numPr>
          <w:ilvl w:val="0"/>
          <w:numId w:val="1"/>
        </w:numPr>
        <w:spacing w:after="80"/>
      </w:pPr>
      <w:r>
        <w:t xml:space="preserve">LFPS timing: for PHY-adjacent failures, check duty-cycle tolerance before assuming a protocol-layer cause.</w:t>
      </w:r>
    </w:p>
    <w:p>
      <w:pPr>
        <w:pStyle w:val="ListParagraph"/>
        <w:numPr>
          <w:ilvl w:val="0"/>
          <w:numId w:val="1"/>
        </w:numPr>
        <w:spacing w:after="80"/>
      </w:pPr>
      <w:r>
        <w:t xml:space="preserve">Flow control: confirm LGOOD_x, LUP/LDN, and ACK sequence numbers are self-consistent — a missed link-layer ACK can produce protocol-layer symptoms that look unrelated.</w:t>
      </w:r>
    </w:p>
    <w:p>
      <w:pPr>
        <w:pStyle w:val="ListParagraph"/>
        <w:numPr>
          <w:ilvl w:val="0"/>
          <w:numId w:val="1"/>
        </w:numPr>
        <w:spacing w:after="80"/>
      </w:pPr>
      <w:r>
        <w:t xml:space="preserve">Packet ordering: for any device response sequence, confirm ACK → ERDY → DPH ordering (Section 9.4) rather than just checking that all three eventually appeared.</w:t>
      </w:r>
    </w:p>
    <w:p>
      <w:pPr>
        <w:pStyle w:val="ListParagraph"/>
        <w:numPr>
          <w:ilvl w:val="0"/>
          <w:numId w:val="1"/>
        </w:numPr>
        <w:spacing w:after="80"/>
      </w:pPr>
      <w:r>
        <w:t xml:space="preserve">Reference data: when a captured packet disagrees with a reference/golden value, check the reference before the DUT — hand-maintained reference vectors are a common source of false failures (Section 7.5).</w:t>
      </w:r>
    </w:p>
    <w:p>
      <w:pPr>
        <w:pStyle w:val="ListParagraph"/>
        <w:numPr>
          <w:ilvl w:val="0"/>
          <w:numId w:val="1"/>
        </w:numPr>
        <w:spacing w:after="80"/>
      </w:pPr>
      <w:r>
        <w:t xml:space="preserve">Address and endpoint fields: confirm Device Address is 0 until SET_ADDRESS completes, and that all Endpoint 0 traffic pre-enumeration stays on the default control endpoint.</w:t>
      </w:r>
    </w:p>
    <w:p>
      <w:pPr>
        <w:pStyle w:val="ListParagraph"/>
        <w:numPr>
          <w:ilvl w:val="0"/>
          <w:numId w:val="1"/>
        </w:numPr>
        <w:spacing w:after="80"/>
      </w:pPr>
      <w:r>
        <w:t xml:space="preserve">Descriptor length: confirm device responses respect wLength rather than always returning a fixed-size descriptor.</w:t>
      </w:r>
    </w:p>
    <w:p>
      <w:pPr>
        <w:pStyle w:val="ListParagraph"/>
        <w:numPr>
          <w:ilvl w:val="0"/>
          <w:numId w:val="1"/>
        </w:numPr>
        <w:spacing w:after="80"/>
      </w:pPr>
      <w:r>
        <w:t xml:space="preserve">Request direction: check bmRequestType's top bit against the request's expected direction before chasing anything deeper (Section 9.8).</w:t>
      </w:r>
    </w:p>
    <w:p>
      <w:pPr>
        <w:pStyle w:val="ListParagraph"/>
        <w:numPr>
          <w:ilvl w:val="0"/>
          <w:numId w:val="1"/>
        </w:numPr>
        <w:spacing w:after="80"/>
      </w:pPr>
      <w:r>
        <w:t xml:space="preserve">Ring bookkeeping: after any command- or event-ring wrap, confirm cycle bits and PCS/CCS stay self-consistent — a stale cycle bit produces a silent hang with no obviously wrong-looking trace (Section 10.4).</w:t>
      </w:r>
    </w:p>
    <w:p>
      <w:pPr>
        <w:pStyle w:val="ListParagraph"/>
        <w:numPr>
          <w:ilvl w:val="0"/>
          <w:numId w:val="1"/>
        </w:numPr>
        <w:spacing w:after="80"/>
      </w:pPr>
      <w:r>
        <w:t xml:space="preserve">Parser cross-checks: the DPH field layouts implemented independently in Section 13.1 and Section 13.4 do not agree bit-for-bit — reconcile against the spec before trusting either as an RTL scoreboard reference (Section 13.4).</w:t>
      </w:r>
    </w:p>
    <w:p>
      <w:pPr>
        <w:pStyle w:val="Heading1"/>
        <w:spacing w:after="200" w:before="400"/>
      </w:pPr>
      <w:r>
        <w:t xml:space="preserve">13. Verification Infrastructure: Reference Parsers</w:t>
      </w:r>
    </w:p>
    <w:p>
      <w:pPr>
        <w:spacing w:after="160" w:line="276"/>
      </w:pPr>
      <w:r>
        <w:t xml:space="preserve">This section documents the Python reference parsers used to decode and construct USB 3.x packets for the testbench and log-analysis flow. Each parser targets one packet class described earlier in this guide, so the cross-references below tie the bit-level implementation back to the protocol description. This section is designed to grow: as TRB, ERST, and command-ring parsers are added, they extend the numbering below rather than requiring a restructure.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50"/>
        <w:gridCol w:w="3200"/>
        <w:gridCol w:w="2600"/>
      </w:tblGrid>
      <w:tr>
        <w:trPr>
          <w:tblHeader/>
        </w:trPr>
        <w:tc>
          <w:tcPr>
            <w:tcW w:type="dxa" w:w="900"/>
            <w:shd w:fill="1F4E79" w:color="auto" w:val="clear"/>
            <w:tcMar>
              <w:top w:type="dxa" w:w="80"/>
              <w:left w:type="dxa" w:w="120"/>
              <w:bottom w:type="dxa" w:w="80"/>
              <w:right w:type="dxa" w:w="120"/>
            </w:tcMar>
            <w:vAlign w:val="center"/>
          </w:tcPr>
          <w:p>
            <w:r>
              <w:rPr>
                <w:b/>
                <w:bCs/>
                <w:color w:val="FFFFFF"/>
                <w:sz w:val="20"/>
                <w:szCs w:val="20"/>
              </w:rPr>
              <w:t xml:space="preserve">#</w:t>
            </w:r>
          </w:p>
        </w:tc>
        <w:tc>
          <w:tcPr>
            <w:tcW w:type="dxa" w:w="2650"/>
            <w:shd w:fill="1F4E79" w:color="auto" w:val="clear"/>
            <w:tcMar>
              <w:top w:type="dxa" w:w="80"/>
              <w:left w:type="dxa" w:w="120"/>
              <w:bottom w:type="dxa" w:w="80"/>
              <w:right w:type="dxa" w:w="120"/>
            </w:tcMar>
            <w:vAlign w:val="center"/>
          </w:tcPr>
          <w:p>
            <w:r>
              <w:rPr>
                <w:b/>
                <w:bCs/>
                <w:color w:val="FFFFFF"/>
                <w:sz w:val="20"/>
                <w:szCs w:val="20"/>
              </w:rPr>
              <w:t xml:space="preserve">Parser</w:t>
            </w:r>
          </w:p>
        </w:tc>
        <w:tc>
          <w:tcPr>
            <w:tcW w:type="dxa" w:w="3200"/>
            <w:shd w:fill="1F4E79" w:color="auto" w:val="clear"/>
            <w:tcMar>
              <w:top w:type="dxa" w:w="80"/>
              <w:left w:type="dxa" w:w="120"/>
              <w:bottom w:type="dxa" w:w="80"/>
              <w:right w:type="dxa" w:w="120"/>
            </w:tcMar>
            <w:vAlign w:val="center"/>
          </w:tcPr>
          <w:p>
            <w:r>
              <w:rPr>
                <w:b/>
                <w:bCs/>
                <w:color w:val="FFFFFF"/>
                <w:sz w:val="20"/>
                <w:szCs w:val="20"/>
              </w:rPr>
              <w:t xml:space="preserve">Source File</w:t>
            </w:r>
          </w:p>
        </w:tc>
        <w:tc>
          <w:tcPr>
            <w:tcW w:type="dxa" w:w="2600"/>
            <w:shd w:fill="1F4E79" w:color="auto" w:val="clear"/>
            <w:tcMar>
              <w:top w:type="dxa" w:w="80"/>
              <w:left w:type="dxa" w:w="120"/>
              <w:bottom w:type="dxa" w:w="80"/>
              <w:right w:type="dxa" w:w="120"/>
            </w:tcMar>
            <w:vAlign w:val="center"/>
          </w:tcPr>
          <w:p>
            <w:r>
              <w:rPr>
                <w:b/>
                <w:bCs/>
                <w:color w:val="FFFFFF"/>
                <w:sz w:val="20"/>
                <w:szCs w:val="20"/>
              </w:rPr>
              <w:t xml:space="preserve">Covers</w:t>
            </w:r>
          </w:p>
        </w:tc>
      </w:tr>
      <w:tr>
        <w:trPr>
          <w:cantSplit/>
        </w:trPr>
        <w:tc>
          <w:tcPr>
            <w:tcW w:type="dxa" w:w="900"/>
            <w:shd w:fill="FFFFFF" w:color="auto" w:val="clear"/>
            <w:tcMar>
              <w:top w:type="dxa" w:w="80"/>
              <w:left w:type="dxa" w:w="120"/>
              <w:bottom w:type="dxa" w:w="80"/>
              <w:right w:type="dxa" w:w="120"/>
            </w:tcMar>
            <w:vAlign w:val="center"/>
          </w:tcPr>
          <w:p>
            <w:r>
              <w:rPr>
                <w:b w:val="false"/>
                <w:bCs w:val="false"/>
                <w:color w:val="000000"/>
                <w:sz w:val="20"/>
                <w:szCs w:val="20"/>
              </w:rPr>
              <w:t xml:space="preserve">13.1</w:t>
            </w:r>
          </w:p>
        </w:tc>
        <w:tc>
          <w:tcPr>
            <w:tcW w:type="dxa" w:w="2650"/>
            <w:shd w:fill="FFFFFF" w:color="auto" w:val="clear"/>
            <w:tcMar>
              <w:top w:type="dxa" w:w="80"/>
              <w:left w:type="dxa" w:w="120"/>
              <w:bottom w:type="dxa" w:w="80"/>
              <w:right w:type="dxa" w:w="120"/>
            </w:tcMar>
            <w:vAlign w:val="center"/>
          </w:tcPr>
          <w:p>
            <w:r>
              <w:rPr>
                <w:b w:val="false"/>
                <w:bCs w:val="false"/>
                <w:color w:val="000000"/>
                <w:sz w:val="20"/>
                <w:szCs w:val="20"/>
              </w:rPr>
              <w:t xml:space="preserve">Data Packet Header Parser</w:t>
            </w:r>
          </w:p>
        </w:tc>
        <w:tc>
          <w:tcPr>
            <w:tcW w:type="dxa" w:w="3200"/>
            <w:shd w:fill="FFFFFF" w:color="auto" w:val="clear"/>
            <w:tcMar>
              <w:top w:type="dxa" w:w="80"/>
              <w:left w:type="dxa" w:w="120"/>
              <w:bottom w:type="dxa" w:w="80"/>
              <w:right w:type="dxa" w:w="120"/>
            </w:tcMar>
            <w:vAlign w:val="center"/>
          </w:tcPr>
          <w:p>
            <w:r>
              <w:rPr>
                <w:b w:val="false"/>
                <w:bCs w:val="false"/>
                <w:color w:val="000000"/>
                <w:sz w:val="20"/>
                <w:szCs w:val="20"/>
              </w:rPr>
              <w:t xml:space="preserve">usb_data_pkt_header_parser.py</w:t>
            </w:r>
          </w:p>
        </w:tc>
        <w:tc>
          <w:tcPr>
            <w:tcW w:type="dxa" w:w="2600"/>
            <w:shd w:fill="FFFFFF" w:color="auto" w:val="clear"/>
            <w:tcMar>
              <w:top w:type="dxa" w:w="80"/>
              <w:left w:type="dxa" w:w="120"/>
              <w:bottom w:type="dxa" w:w="80"/>
              <w:right w:type="dxa" w:w="120"/>
            </w:tcMar>
            <w:vAlign w:val="center"/>
          </w:tcPr>
          <w:p>
            <w:r>
              <w:rPr>
                <w:b w:val="false"/>
                <w:bCs w:val="false"/>
                <w:color w:val="000000"/>
                <w:sz w:val="20"/>
                <w:szCs w:val="20"/>
              </w:rPr>
              <w:t xml:space="preserve">DPH/SPH framing, Gen1/Gen2 packet structure</w:t>
            </w:r>
          </w:p>
        </w:tc>
      </w:tr>
      <w:tr>
        <w:trPr>
          <w:cantSplit/>
        </w:trPr>
        <w:tc>
          <w:tcPr>
            <w:tcW w:type="dxa" w:w="900"/>
            <w:shd w:fill="EAF1F8" w:color="auto" w:val="clear"/>
            <w:tcMar>
              <w:top w:type="dxa" w:w="80"/>
              <w:left w:type="dxa" w:w="120"/>
              <w:bottom w:type="dxa" w:w="80"/>
              <w:right w:type="dxa" w:w="120"/>
            </w:tcMar>
            <w:vAlign w:val="center"/>
          </w:tcPr>
          <w:p>
            <w:r>
              <w:rPr>
                <w:b w:val="false"/>
                <w:bCs w:val="false"/>
                <w:color w:val="000000"/>
                <w:sz w:val="20"/>
                <w:szCs w:val="20"/>
              </w:rPr>
              <w:t xml:space="preserve">13.2</w:t>
            </w:r>
          </w:p>
        </w:tc>
        <w:tc>
          <w:tcPr>
            <w:tcW w:type="dxa" w:w="2650"/>
            <w:shd w:fill="EAF1F8" w:color="auto" w:val="clear"/>
            <w:tcMar>
              <w:top w:type="dxa" w:w="80"/>
              <w:left w:type="dxa" w:w="120"/>
              <w:bottom w:type="dxa" w:w="80"/>
              <w:right w:type="dxa" w:w="120"/>
            </w:tcMar>
            <w:vAlign w:val="center"/>
          </w:tcPr>
          <w:p>
            <w:r>
              <w:rPr>
                <w:b w:val="false"/>
                <w:bCs w:val="false"/>
                <w:color w:val="000000"/>
                <w:sz w:val="20"/>
                <w:szCs w:val="20"/>
              </w:rPr>
              <w:t xml:space="preserve">Link Command Parsers</w:t>
            </w:r>
          </w:p>
        </w:tc>
        <w:tc>
          <w:tcPr>
            <w:tcW w:type="dxa" w:w="3200"/>
            <w:shd w:fill="EAF1F8" w:color="auto" w:val="clear"/>
            <w:tcMar>
              <w:top w:type="dxa" w:w="80"/>
              <w:left w:type="dxa" w:w="120"/>
              <w:bottom w:type="dxa" w:w="80"/>
              <w:right w:type="dxa" w:w="120"/>
            </w:tcMar>
            <w:vAlign w:val="center"/>
          </w:tcPr>
          <w:p>
            <w:r>
              <w:rPr>
                <w:b w:val="false"/>
                <w:bCs w:val="false"/>
                <w:color w:val="000000"/>
                <w:sz w:val="20"/>
                <w:szCs w:val="20"/>
              </w:rPr>
              <w:t xml:space="preserve">usb_link_command_parser.py, usb_link_pkt.py, usb_link_word_parser.py</w:t>
            </w:r>
          </w:p>
        </w:tc>
        <w:tc>
          <w:tcPr>
            <w:tcW w:type="dxa" w:w="2600"/>
            <w:shd w:fill="EAF1F8" w:color="auto" w:val="clear"/>
            <w:tcMar>
              <w:top w:type="dxa" w:w="80"/>
              <w:left w:type="dxa" w:w="120"/>
              <w:bottom w:type="dxa" w:w="80"/>
              <w:right w:type="dxa" w:w="120"/>
            </w:tcMar>
            <w:vAlign w:val="center"/>
          </w:tcPr>
          <w:p>
            <w:r>
              <w:rPr>
                <w:b w:val="false"/>
                <w:bCs w:val="false"/>
                <w:color w:val="000000"/>
                <w:sz w:val="20"/>
                <w:szCs w:val="20"/>
              </w:rPr>
              <w:t xml:space="preserve">LGOOD_x, LGO_Ux, LAU/LXU, LUP/LDN, Link Control Word</w:t>
            </w:r>
          </w:p>
        </w:tc>
      </w:tr>
      <w:tr>
        <w:trPr>
          <w:cantSplit/>
        </w:trPr>
        <w:tc>
          <w:tcPr>
            <w:tcW w:type="dxa" w:w="900"/>
            <w:shd w:fill="FFFFFF" w:color="auto" w:val="clear"/>
            <w:tcMar>
              <w:top w:type="dxa" w:w="80"/>
              <w:left w:type="dxa" w:w="120"/>
              <w:bottom w:type="dxa" w:w="80"/>
              <w:right w:type="dxa" w:w="120"/>
            </w:tcMar>
            <w:vAlign w:val="center"/>
          </w:tcPr>
          <w:p>
            <w:r>
              <w:rPr>
                <w:b w:val="false"/>
                <w:bCs w:val="false"/>
                <w:color w:val="000000"/>
                <w:sz w:val="20"/>
                <w:szCs w:val="20"/>
              </w:rPr>
              <w:t xml:space="preserve">13.3</w:t>
            </w:r>
          </w:p>
        </w:tc>
        <w:tc>
          <w:tcPr>
            <w:tcW w:type="dxa" w:w="2650"/>
            <w:shd w:fill="FFFFFF" w:color="auto" w:val="clear"/>
            <w:tcMar>
              <w:top w:type="dxa" w:w="80"/>
              <w:left w:type="dxa" w:w="120"/>
              <w:bottom w:type="dxa" w:w="80"/>
              <w:right w:type="dxa" w:w="120"/>
            </w:tcMar>
            <w:vAlign w:val="center"/>
          </w:tcPr>
          <w:p>
            <w:r>
              <w:rPr>
                <w:b w:val="false"/>
                <w:bCs w:val="false"/>
                <w:color w:val="000000"/>
                <w:sz w:val="20"/>
                <w:szCs w:val="20"/>
              </w:rPr>
              <w:t xml:space="preserve">OS Packet Parser</w:t>
            </w:r>
          </w:p>
        </w:tc>
        <w:tc>
          <w:tcPr>
            <w:tcW w:type="dxa" w:w="3200"/>
            <w:shd w:fill="FFFFFF" w:color="auto" w:val="clear"/>
            <w:tcMar>
              <w:top w:type="dxa" w:w="80"/>
              <w:left w:type="dxa" w:w="120"/>
              <w:bottom w:type="dxa" w:w="80"/>
              <w:right w:type="dxa" w:w="120"/>
            </w:tcMar>
            <w:vAlign w:val="center"/>
          </w:tcPr>
          <w:p>
            <w:r>
              <w:rPr>
                <w:b w:val="false"/>
                <w:bCs w:val="false"/>
                <w:color w:val="000000"/>
                <w:sz w:val="20"/>
                <w:szCs w:val="20"/>
              </w:rPr>
              <w:t xml:space="preserve">usb_os_pkt_parser.py</w:t>
            </w:r>
          </w:p>
        </w:tc>
        <w:tc>
          <w:tcPr>
            <w:tcW w:type="dxa" w:w="2600"/>
            <w:shd w:fill="FFFFFF" w:color="auto" w:val="clear"/>
            <w:tcMar>
              <w:top w:type="dxa" w:w="80"/>
              <w:left w:type="dxa" w:w="120"/>
              <w:bottom w:type="dxa" w:w="80"/>
              <w:right w:type="dxa" w:w="120"/>
            </w:tcMar>
            <w:vAlign w:val="center"/>
          </w:tcPr>
          <w:p>
            <w:r>
              <w:rPr>
                <w:b w:val="false"/>
                <w:bCs w:val="false"/>
                <w:color w:val="000000"/>
                <w:sz w:val="20"/>
                <w:szCs w:val="20"/>
              </w:rPr>
              <w:t xml:space="preserve">TS1/TS2 Ordered Sets, Link Configuration byte</w:t>
            </w:r>
          </w:p>
        </w:tc>
      </w:tr>
      <w:tr>
        <w:trPr>
          <w:cantSplit/>
        </w:trPr>
        <w:tc>
          <w:tcPr>
            <w:tcW w:type="dxa" w:w="900"/>
            <w:shd w:fill="EAF1F8" w:color="auto" w:val="clear"/>
            <w:tcMar>
              <w:top w:type="dxa" w:w="80"/>
              <w:left w:type="dxa" w:w="120"/>
              <w:bottom w:type="dxa" w:w="80"/>
              <w:right w:type="dxa" w:w="120"/>
            </w:tcMar>
            <w:vAlign w:val="center"/>
          </w:tcPr>
          <w:p>
            <w:r>
              <w:rPr>
                <w:b w:val="false"/>
                <w:bCs w:val="false"/>
                <w:color w:val="000000"/>
                <w:sz w:val="20"/>
                <w:szCs w:val="20"/>
              </w:rPr>
              <w:t xml:space="preserve">13.4</w:t>
            </w:r>
          </w:p>
        </w:tc>
        <w:tc>
          <w:tcPr>
            <w:tcW w:type="dxa" w:w="2650"/>
            <w:shd w:fill="EAF1F8" w:color="auto" w:val="clear"/>
            <w:tcMar>
              <w:top w:type="dxa" w:w="80"/>
              <w:left w:type="dxa" w:w="120"/>
              <w:bottom w:type="dxa" w:w="80"/>
              <w:right w:type="dxa" w:w="120"/>
            </w:tcMar>
            <w:vAlign w:val="center"/>
          </w:tcPr>
          <w:p>
            <w:r>
              <w:rPr>
                <w:b w:val="false"/>
                <w:bCs w:val="false"/>
                <w:color w:val="000000"/>
                <w:sz w:val="20"/>
                <w:szCs w:val="20"/>
              </w:rPr>
              <w:t xml:space="preserve">USB Packet (DPH) Parser</w:t>
            </w:r>
          </w:p>
        </w:tc>
        <w:tc>
          <w:tcPr>
            <w:tcW w:type="dxa" w:w="3200"/>
            <w:shd w:fill="EAF1F8" w:color="auto" w:val="clear"/>
            <w:tcMar>
              <w:top w:type="dxa" w:w="80"/>
              <w:left w:type="dxa" w:w="120"/>
              <w:bottom w:type="dxa" w:w="80"/>
              <w:right w:type="dxa" w:w="120"/>
            </w:tcMar>
            <w:vAlign w:val="center"/>
          </w:tcPr>
          <w:p>
            <w:r>
              <w:rPr>
                <w:b w:val="false"/>
                <w:bCs w:val="false"/>
                <w:color w:val="000000"/>
                <w:sz w:val="20"/>
                <w:szCs w:val="20"/>
              </w:rPr>
              <w:t xml:space="preserve">usb_pkt.py</w:t>
            </w:r>
          </w:p>
        </w:tc>
        <w:tc>
          <w:tcPr>
            <w:tcW w:type="dxa" w:w="2600"/>
            <w:shd w:fill="EAF1F8" w:color="auto" w:val="clear"/>
            <w:tcMar>
              <w:top w:type="dxa" w:w="80"/>
              <w:left w:type="dxa" w:w="120"/>
              <w:bottom w:type="dxa" w:w="80"/>
              <w:right w:type="dxa" w:w="120"/>
            </w:tcMar>
            <w:vAlign w:val="center"/>
          </w:tcPr>
          <w:p>
            <w:r>
              <w:rPr>
                <w:b w:val="false"/>
                <w:bCs w:val="false"/>
                <w:color w:val="000000"/>
                <w:sz w:val="20"/>
                <w:szCs w:val="20"/>
              </w:rPr>
              <w:t xml:space="preserve">Independent 16-byte DPH decode, packet type map</w:t>
            </w:r>
          </w:p>
        </w:tc>
      </w:tr>
    </w:tbl>
    <w:p>
      <w:pPr>
        <w:pStyle w:val="Heading2"/>
        <w:spacing w:after="150" w:before="300"/>
      </w:pPr>
      <w:r>
        <w:t xml:space="preserve">13.1 Data Packet Header Parser</w:t>
      </w:r>
    </w:p>
    <w:p>
      <w:pPr>
        <w:spacing w:after="160" w:line="276"/>
      </w:pPr>
      <w:r>
        <w:t xml:space="preserve">usb_data_pkt_header_parser.py implements a full 12-byte Data Packet Header (DPH) codec, plus the complete Gen1/Gen2 framing around it — the same fields introduced conceptually in Section 7.5 and Section 9. A HeaderType enum distinguishes DPH (0b0101), SPH (0b0111, the Status Packet / ACK header), TPH (0b0100), ITP (0b0001), and LMP (0b0000), with extended Gen2 variants EDPH and ESPH. Framing is modeled explicitly as four END symbols (EPF/EPS/EPD/EPN, distinguishing a clean end-of-packet from a stream, decode, or Gen2 no-error termination) and four START symbols (SHP/SDP/SHDP/ESDP).</w:t>
      </w:r>
    </w:p>
    <w:p>
      <w:pPr>
        <w:spacing w:after="160" w:line="276"/>
      </w:pPr>
      <w:r>
        <w:t xml:space="preserve">The DataPacketHeader dataclass carries exactly the fields this guide's DPH discussion named — route_string, device_address, endpoint, direction, sequence_number, number_of_packets, data_length, stream_id, header_crc — packed into three little-endian 32-bit words via to_bytes()/from_bytes(). The higher-level DataPacket dataclass adds the Link Control Word, Gen2-only Length Field Replicas, payload, and CRC-32, and computes total framing overhead directly: 20 bytes for Gen1, 24 for Gen2 (the extra 4 bytes being the two Length Field Replicas).</w:t>
      </w:r>
    </w:p>
    <w:p>
      <w:pPr>
        <w:shd w:fill="F2F2F2" w:color="auto" w:val="clear"/>
        <w:spacing w:after="200" w:before="120"/>
      </w:pPr>
      <w:r>
        <w:rPr>
          <w:rFonts w:ascii="Consolas" w:cs="Consolas" w:eastAsia="Consolas" w:hAnsi="Consolas"/>
          <w:sz w:val="18"/>
          <w:szCs w:val="18"/>
        </w:rPr>
        <w:t xml:space="preserve">class HeaderType(IntEnum):</w:t>
      </w:r>
      <w:r>
        <w:rPr>
          <w:rFonts w:ascii="Consolas" w:cs="Consolas" w:eastAsia="Consolas" w:hAnsi="Consolas"/>
          <w:sz w:val="18"/>
          <w:szCs w:val="18"/>
        </w:rPr>
        <w:br/>
        <w:t xml:space="preserve">    DPH = 0b0101   # Data Packet Header</w:t>
      </w:r>
      <w:r>
        <w:rPr>
          <w:rFonts w:ascii="Consolas" w:cs="Consolas" w:eastAsia="Consolas" w:hAnsi="Consolas"/>
          <w:sz w:val="18"/>
          <w:szCs w:val="18"/>
        </w:rPr>
        <w:br/>
        <w:t xml:space="preserve">    SPH = 0b0111   # Status Packet Header (ACK)</w:t>
      </w:r>
      <w:r>
        <w:rPr>
          <w:rFonts w:ascii="Consolas" w:cs="Consolas" w:eastAsia="Consolas" w:hAnsi="Consolas"/>
          <w:sz w:val="18"/>
          <w:szCs w:val="18"/>
        </w:rPr>
        <w:br/>
        <w:t xml:space="preserve">    TPH = 0b0100   # Transaction Packet Header</w:t>
      </w:r>
      <w:r>
        <w:rPr>
          <w:rFonts w:ascii="Consolas" w:cs="Consolas" w:eastAsia="Consolas" w:hAnsi="Consolas"/>
          <w:sz w:val="18"/>
          <w:szCs w:val="18"/>
        </w:rPr>
        <w:br/>
        <w:t xml:space="preserve">    ITP = 0b0001   # Isochronous Timestamp Packet</w:t>
      </w:r>
      <w:r>
        <w:rPr>
          <w:rFonts w:ascii="Consolas" w:cs="Consolas" w:eastAsia="Consolas" w:hAnsi="Consolas"/>
          <w:sz w:val="18"/>
          <w:szCs w:val="18"/>
        </w:rPr>
        <w:br/>
        <w:t xml:space="preserve">    LMP = 0b0000   # Link Management Packet</w:t>
      </w:r>
      <w:r>
        <w:rPr>
          <w:rFonts w:ascii="Consolas" w:cs="Consolas" w:eastAsia="Consolas" w:hAnsi="Consolas"/>
          <w:sz w:val="18"/>
          <w:szCs w:val="18"/>
        </w:rPr>
        <w:br/>
        <w:t xml:space="preserve"/>
      </w:r>
      <w:r>
        <w:rPr>
          <w:rFonts w:ascii="Consolas" w:cs="Consolas" w:eastAsia="Consolas" w:hAnsi="Consolas"/>
          <w:sz w:val="18"/>
          <w:szCs w:val="18"/>
        </w:rPr>
        <w:br/>
        <w:t xml:space="preserve">@dataclass</w:t>
      </w:r>
      <w:r>
        <w:rPr>
          <w:rFonts w:ascii="Consolas" w:cs="Consolas" w:eastAsia="Consolas" w:hAnsi="Consolas"/>
          <w:sz w:val="18"/>
          <w:szCs w:val="18"/>
        </w:rPr>
        <w:br/>
        <w:t xml:space="preserve">class DataPacketHeader:</w:t>
      </w:r>
      <w:r>
        <w:rPr>
          <w:rFonts w:ascii="Consolas" w:cs="Consolas" w:eastAsia="Consolas" w:hAnsi="Consolas"/>
          <w:sz w:val="18"/>
          <w:szCs w:val="18"/>
        </w:rPr>
        <w:br/>
        <w:t xml:space="preserve">    header_type: int        # 4 bits - should be DPH (0x5)</w:t>
      </w:r>
      <w:r>
        <w:rPr>
          <w:rFonts w:ascii="Consolas" w:cs="Consolas" w:eastAsia="Consolas" w:hAnsi="Consolas"/>
          <w:sz w:val="18"/>
          <w:szCs w:val="18"/>
        </w:rPr>
        <w:br/>
        <w:t xml:space="preserve">    route_string: int       # 20 bits</w:t>
      </w:r>
      <w:r>
        <w:rPr>
          <w:rFonts w:ascii="Consolas" w:cs="Consolas" w:eastAsia="Consolas" w:hAnsi="Consolas"/>
          <w:sz w:val="18"/>
          <w:szCs w:val="18"/>
        </w:rPr>
        <w:br/>
        <w:t xml:space="preserve">    device_address: int     # 7 bits</w:t>
      </w:r>
      <w:r>
        <w:rPr>
          <w:rFonts w:ascii="Consolas" w:cs="Consolas" w:eastAsia="Consolas" w:hAnsi="Consolas"/>
          <w:sz w:val="18"/>
          <w:szCs w:val="18"/>
        </w:rPr>
        <w:br/>
        <w:t xml:space="preserve">    endpoint: int           # 4 bits</w:t>
      </w:r>
      <w:r>
        <w:rPr>
          <w:rFonts w:ascii="Consolas" w:cs="Consolas" w:eastAsia="Consolas" w:hAnsi="Consolas"/>
          <w:sz w:val="18"/>
          <w:szCs w:val="18"/>
        </w:rPr>
        <w:br/>
        <w:t xml:space="preserve">    direction: int          # 1 bit (0=OUT, 1=IN)</w:t>
      </w:r>
      <w:r>
        <w:rPr>
          <w:rFonts w:ascii="Consolas" w:cs="Consolas" w:eastAsia="Consolas" w:hAnsi="Consolas"/>
          <w:sz w:val="18"/>
          <w:szCs w:val="18"/>
        </w:rPr>
        <w:br/>
        <w:t xml:space="preserve">    sequence_number: int    # 5 bits</w:t>
      </w:r>
      <w:r>
        <w:rPr>
          <w:rFonts w:ascii="Consolas" w:cs="Consolas" w:eastAsia="Consolas" w:hAnsi="Consolas"/>
          <w:sz w:val="18"/>
          <w:szCs w:val="18"/>
        </w:rPr>
        <w:br/>
        <w:t xml:space="preserve">    number_of_packets: int  # 5 bits</w:t>
      </w:r>
      <w:r>
        <w:rPr>
          <w:rFonts w:ascii="Consolas" w:cs="Consolas" w:eastAsia="Consolas" w:hAnsi="Consolas"/>
          <w:sz w:val="18"/>
          <w:szCs w:val="18"/>
        </w:rPr>
        <w:br/>
        <w:t xml:space="preserve">    data_length: int        # 16 bits</w:t>
      </w:r>
      <w:r>
        <w:rPr>
          <w:rFonts w:ascii="Consolas" w:cs="Consolas" w:eastAsia="Consolas" w:hAnsi="Consolas"/>
          <w:sz w:val="18"/>
          <w:szCs w:val="18"/>
        </w:rPr>
        <w:br/>
        <w:t xml:space="preserve">    stream_id: int          # 16 bits</w:t>
      </w:r>
      <w:r>
        <w:rPr>
          <w:rFonts w:ascii="Consolas" w:cs="Consolas" w:eastAsia="Consolas" w:hAnsi="Consolas"/>
          <w:sz w:val="18"/>
          <w:szCs w:val="18"/>
        </w:rPr>
        <w:br/>
        <w:t xml:space="preserve">    header_crc: int         # 16 bits</w:t>
      </w:r>
    </w:p>
    <w:p>
      <w:pPr>
        <w:spacing w:after="160" w:line="276"/>
      </w:pPr>
      <w:r>
        <w:t xml:space="preserve">USBDataPacketParser.parse_gen1_packet() / parse_gen2_packet() walk a captured byte stream end-symbols → header → Link Control Word → header CRC → payload → CRC-32 → start-symbols, and the matching build_gen1_packet() / build_gen2_packet() methods construct a packet in the same order for stimulus generation.</w:t>
      </w:r>
    </w:p>
    <w:p>
      <w:pPr>
        <w:pStyle w:val="Heading2"/>
        <w:spacing w:after="150" w:before="300"/>
      </w:pPr>
      <w:r>
        <w:t xml:space="preserve">13.2 Link Command Parsers</w:t>
      </w:r>
    </w:p>
    <w:p>
      <w:pPr>
        <w:spacing w:after="160" w:line="276"/>
      </w:pPr>
      <w:r>
        <w:t xml:space="preserve">Link commands (Section 5) are decoded by three complementary parsers, each covering a different layer of the same 16-bit Link Command Word:</w:t>
      </w:r>
    </w:p>
    <w:p>
      <w:pPr>
        <w:pStyle w:val="Heading3"/>
        <w:spacing w:after="100" w:before="200"/>
      </w:pPr>
      <w:r>
        <w:t xml:space="preserve">13.2.1 usb_link_command_parser.py</w:t>
      </w:r>
    </w:p>
    <w:p>
      <w:pPr>
        <w:spacing w:after="160" w:line="276"/>
      </w:pPr>
      <w:r>
        <w:t xml:space="preserve">Decodes the framed 8-symbol link command packet used for LXU, LAU, LGO_Ux, and LRTY. Each LinkCommandWord carries a class bit, 3 type bits, 4 reserved bits, and a 4-bit sub-type; the full LinkCommand wraps two copies of this word (command_word_1 / command_word_2, separated by CRC-5 fields) and validates that the replica matches — exactly the redundancy check a real link partner performs before trusting a received command. get_u_state() decodes which U-state (U1/U2/U3) an LGO_Ux command is requesting directly from its sub-type bits.</w:t>
      </w:r>
    </w:p>
    <w:p>
      <w:pPr>
        <w:pStyle w:val="Heading3"/>
        <w:spacing w:after="100" w:before="200"/>
      </w:pPr>
      <w:r>
        <w:t xml:space="preserve">13.2.2 usb_link_pkt.py</w:t>
      </w:r>
    </w:p>
    <w:p>
      <w:pPr>
        <w:spacing w:after="160" w:line="276"/>
      </w:pPr>
      <w:r>
        <w:t xml:space="preserve">A broader, table-driven decoder organized around the 2-bit Class field: Class 00 covers LGOOD_n / LRTY / LBAD / LCRD_x / LCRD1_x / LCRD2_x, Class 01 covers LGO_Ux / LAU / LXU / LPMA, Class 10 covers LUP / LDN, and Class 11 is reserved. It also handles the generation-dependent sub-field width differences called out in Section 5.1 — for example, LGOOD_n's HP sequence number is narrower on plain SuperSpeed than on SuperSpeedPlus Gen2x2, and the parser branches on that generation bit explicitly. This parser is CSV-driven (parse_csv), making it the natural front end for decoding a logged command trace in bulk and exporting a text report.</w:t>
      </w:r>
    </w:p>
    <w:p>
      <w:pPr>
        <w:pStyle w:val="Heading3"/>
        <w:spacing w:after="100" w:before="200"/>
      </w:pPr>
      <w:r>
        <w:t xml:space="preserve">13.2.3 usb_link_word_parser.py</w:t>
      </w:r>
    </w:p>
    <w:p>
      <w:pPr>
        <w:spacing w:after="160" w:line="276"/>
      </w:pPr>
      <w:r>
        <w:t xml:space="preserve">Parses and builds the 16-bit Link Control Word (LCW) itself — the same LCW referenced inside the Data Packet Header in Section 13.1. Its field layout (CRC, DEFERRED, DELAYED, Hub Depth, Reserved, Header Sequence) is generation-dependent: SuperSpeed uses a 3-bit Reserved field and a 3-bit Header Sequence, while SuperSpeedPlus narrows Reserved to 2 bits and widens Header Sequence to 4 bits. The Hub Depth field here is the same one introduced in Section 8.1's routing discussion.</w:t>
      </w:r>
    </w:p>
    <w:p>
      <w:pPr>
        <w:pBdr>
          <w:left w:val="single" w:color="1F4E79" w:sz="12" w:space="8"/>
        </w:pBdr>
        <w:spacing w:after="200" w:before="80"/>
        <w:ind w:left="360"/>
      </w:pPr>
      <w:r>
        <w:rPr>
          <w:i/>
          <w:iCs/>
          <w:color w:val="595959"/>
          <w:sz w:val="20"/>
          <w:szCs w:val="20"/>
        </w:rPr>
        <w:t xml:space="preserve">Verification tip: because Section 13.2.1 and 13.2.2 decode overlapping command sets from two different framing assumptions (raw 8-symbol packet vs. table-driven hex value), pick one as the canonical decoder for a given testbench rather than cross-wiring both against the same capture.</w:t>
      </w:r>
    </w:p>
    <w:p>
      <w:pPr>
        <w:pStyle w:val="Heading2"/>
        <w:spacing w:after="150" w:before="300"/>
      </w:pPr>
      <w:r>
        <w:t xml:space="preserve">13.3 OS Packet Parser — TS1/TS2</w:t>
      </w:r>
    </w:p>
    <w:p>
      <w:pPr>
        <w:spacing w:after="160" w:line="276"/>
      </w:pPr>
      <w:r>
        <w:t xml:space="preserve">usb_os_pkt_parser.py decodes Training Sequence Ordered Sets from logged captures — the byte-level exchange underlying the LTSSM polling and link-configuration behavior described in Section 4.3. Each Ordered Set is modeled as 16 symbols: Symbols 0–3 are COM (K28.5) framing, Symbol 4 is reserved (D0.0), Symbol 5 is the Link Configuration byte, and Symbols 6–15 are the TS1/TS2 identifier symbols (expected D10.2 for TS1, D5.2 for TS2).</w:t>
      </w:r>
    </w:p>
    <w:p>
      <w:pPr>
        <w:spacing w:after="160" w:line="276"/>
      </w:pPr>
      <w:r>
        <w:t xml:space="preserve">Symbol 5's Link Configuration byte is decoded bit-by-bit into a dedicated LinkConfiguration dataclass:</w:t>
      </w:r>
    </w:p>
    <w:p>
      <w:pPr>
        <w:pStyle w:val="ListParagraph"/>
        <w:numPr>
          <w:ilvl w:val="0"/>
          <w:numId w:val="1"/>
        </w:numPr>
        <w:spacing w:after="80"/>
      </w:pPr>
      <w:r>
        <w:t xml:space="preserve">Bit 0 — Reset (vs. Normal Training).</w:t>
      </w:r>
    </w:p>
    <w:p>
      <w:pPr>
        <w:pStyle w:val="ListParagraph"/>
        <w:numPr>
          <w:ilvl w:val="0"/>
          <w:numId w:val="1"/>
        </w:numPr>
        <w:spacing w:after="80"/>
      </w:pPr>
      <w:r>
        <w:t xml:space="preserve">Bit 1 — Reserved.</w:t>
      </w:r>
    </w:p>
    <w:p>
      <w:pPr>
        <w:pStyle w:val="ListParagraph"/>
        <w:numPr>
          <w:ilvl w:val="0"/>
          <w:numId w:val="1"/>
        </w:numPr>
        <w:spacing w:after="80"/>
      </w:pPr>
      <w:r>
        <w:t xml:space="preserve">Bit 2 — Loopback asserted/de-asserted.</w:t>
      </w:r>
    </w:p>
    <w:p>
      <w:pPr>
        <w:pStyle w:val="ListParagraph"/>
        <w:numPr>
          <w:ilvl w:val="0"/>
          <w:numId w:val="1"/>
        </w:numPr>
        <w:spacing w:after="80"/>
      </w:pPr>
      <w:r>
        <w:t xml:space="preserve">Bit 3 — Disable Scrambling asserted/de-asserted.</w:t>
      </w:r>
    </w:p>
    <w:p>
      <w:pPr>
        <w:pStyle w:val="ListParagraph"/>
        <w:numPr>
          <w:ilvl w:val="0"/>
          <w:numId w:val="1"/>
        </w:numPr>
        <w:spacing w:after="80"/>
      </w:pPr>
      <w:r>
        <w:t xml:space="preserve">Bit 4 — Local Loopback / Repeater asserted/de-asserted.</w:t>
      </w:r>
    </w:p>
    <w:p>
      <w:pPr>
        <w:pStyle w:val="ListParagraph"/>
        <w:numPr>
          <w:ilvl w:val="0"/>
          <w:numId w:val="1"/>
        </w:numPr>
        <w:spacing w:after="80"/>
      </w:pPr>
      <w:r>
        <w:t xml:space="preserve">Bit 5 — Bit-level Re-timer asserted/de-asserted.</w:t>
      </w:r>
    </w:p>
    <w:p>
      <w:pPr>
        <w:pStyle w:val="ListParagraph"/>
        <w:numPr>
          <w:ilvl w:val="0"/>
          <w:numId w:val="1"/>
        </w:numPr>
        <w:spacing w:after="80"/>
      </w:pPr>
      <w:r>
        <w:t xml:space="preserve">Bits 6–7 — Reserved.</w:t>
      </w:r>
    </w:p>
    <w:p>
      <w:pPr>
        <w:spacing w:after="160" w:line="276"/>
      </w:pPr>
      <w:r>
        <w:t xml:space="preserve">The parser accepts several CSV layouts (Type/Symbol#/Value in any order, or Symbol#/Value defaulting to TS1) and groups consecutive symbols back into per-packet OrderedSet objects, starting a new packet whenever it sees Symbol 0 or a type change — useful for reconstructing individual TS1/TS2 ordered sets out of a flat logic-analyzer symbol dump.</w:t>
      </w:r>
    </w:p>
    <w:p>
      <w:pPr>
        <w:pStyle w:val="Heading2"/>
        <w:spacing w:after="150" w:before="300"/>
      </w:pPr>
      <w:r>
        <w:t xml:space="preserve">13.4 USB Packet (DPH) Parser</w:t>
      </w:r>
    </w:p>
    <w:p>
      <w:pPr>
        <w:spacing w:after="160" w:line="276"/>
      </w:pPr>
      <w:r>
        <w:t xml:space="preserve">usb_pkt.py is a second, independently written 16-byte (4-dword) DPH decoder with its own PACKET_TYPES map (Transaction / Data / Handshake / Token / Special / Isochronous / Link Management / Reserved). It's a useful cross-check on Section 13.1's parser — but the two do not agree on bit placement for several overlapping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rPr>
          <w:tblHeader/>
        </w:trPr>
        <w:tc>
          <w:tcPr>
            <w:tcW w:type="dxa" w:w="2600"/>
            <w:shd w:fill="1F4E79" w:color="auto" w:val="clear"/>
            <w:tcMar>
              <w:top w:type="dxa" w:w="80"/>
              <w:left w:type="dxa" w:w="120"/>
              <w:bottom w:type="dxa" w:w="80"/>
              <w:right w:type="dxa" w:w="120"/>
            </w:tcMar>
            <w:vAlign w:val="center"/>
          </w:tcPr>
          <w:p>
            <w:r>
              <w:rPr>
                <w:b/>
                <w:bCs/>
                <w:color w:val="FFFFFF"/>
                <w:sz w:val="20"/>
                <w:szCs w:val="20"/>
              </w:rPr>
              <w:t xml:space="preserve">Field</w:t>
            </w:r>
          </w:p>
        </w:tc>
        <w:tc>
          <w:tcPr>
            <w:tcW w:type="dxa" w:w="3600"/>
            <w:shd w:fill="1F4E79" w:color="auto" w:val="clear"/>
            <w:tcMar>
              <w:top w:type="dxa" w:w="80"/>
              <w:left w:type="dxa" w:w="120"/>
              <w:bottom w:type="dxa" w:w="80"/>
              <w:right w:type="dxa" w:w="120"/>
            </w:tcMar>
            <w:vAlign w:val="center"/>
          </w:tcPr>
          <w:p>
            <w:r>
              <w:rPr>
                <w:b/>
                <w:bCs/>
                <w:color w:val="FFFFFF"/>
                <w:sz w:val="20"/>
                <w:szCs w:val="20"/>
              </w:rPr>
              <w:t xml:space="preserve">13.1 (usb_data_pkt_header_parser.py)</w:t>
            </w:r>
          </w:p>
        </w:tc>
        <w:tc>
          <w:tcPr>
            <w:tcW w:type="dxa" w:w="3150"/>
            <w:shd w:fill="1F4E79" w:color="auto" w:val="clear"/>
            <w:tcMar>
              <w:top w:type="dxa" w:w="80"/>
              <w:left w:type="dxa" w:w="120"/>
              <w:bottom w:type="dxa" w:w="80"/>
              <w:right w:type="dxa" w:w="120"/>
            </w:tcMar>
            <w:vAlign w:val="center"/>
          </w:tcPr>
          <w:p>
            <w:r>
              <w:rPr>
                <w:b/>
                <w:bCs/>
                <w:color w:val="FFFFFF"/>
                <w:sz w:val="20"/>
                <w:szCs w:val="20"/>
              </w:rPr>
              <w:t xml:space="preserve">13.4 (usb_pkt.py)</w:t>
            </w:r>
          </w:p>
        </w:tc>
      </w:tr>
      <w:tr>
        <w:trPr>
          <w:cantSplit/>
        </w:trPr>
        <w:tc>
          <w:tcPr>
            <w:tcW w:type="dxa" w:w="2600"/>
            <w:shd w:fill="FFFFFF" w:color="auto" w:val="clear"/>
            <w:tcMar>
              <w:top w:type="dxa" w:w="80"/>
              <w:left w:type="dxa" w:w="120"/>
              <w:bottom w:type="dxa" w:w="80"/>
              <w:right w:type="dxa" w:w="120"/>
            </w:tcMar>
            <w:vAlign w:val="center"/>
          </w:tcPr>
          <w:p>
            <w:r>
              <w:rPr>
                <w:b w:val="false"/>
                <w:bCs w:val="false"/>
                <w:color w:val="000000"/>
                <w:sz w:val="20"/>
                <w:szCs w:val="20"/>
              </w:rPr>
              <w:t xml:space="preserve">Header/packet type</w:t>
            </w:r>
          </w:p>
        </w:tc>
        <w:tc>
          <w:tcPr>
            <w:tcW w:type="dxa" w:w="3600"/>
            <w:shd w:fill="FFFFFF" w:color="auto" w:val="clear"/>
            <w:tcMar>
              <w:top w:type="dxa" w:w="80"/>
              <w:left w:type="dxa" w:w="120"/>
              <w:bottom w:type="dxa" w:w="80"/>
              <w:right w:type="dxa" w:w="120"/>
            </w:tcMar>
            <w:vAlign w:val="center"/>
          </w:tcPr>
          <w:p>
            <w:r>
              <w:rPr>
                <w:b w:val="false"/>
                <w:bCs w:val="false"/>
                <w:color w:val="000000"/>
                <w:sz w:val="20"/>
                <w:szCs w:val="20"/>
              </w:rPr>
              <w:t xml:space="preserve">4 bits, top of DW0</w:t>
            </w:r>
          </w:p>
        </w:tc>
        <w:tc>
          <w:tcPr>
            <w:tcW w:type="dxa" w:w="3150"/>
            <w:shd w:fill="FFFFFF" w:color="auto" w:val="clear"/>
            <w:tcMar>
              <w:top w:type="dxa" w:w="80"/>
              <w:left w:type="dxa" w:w="120"/>
              <w:bottom w:type="dxa" w:w="80"/>
              <w:right w:type="dxa" w:w="120"/>
            </w:tcMar>
            <w:vAlign w:val="center"/>
          </w:tcPr>
          <w:p>
            <w:r>
              <w:rPr>
                <w:b w:val="false"/>
                <w:bCs w:val="false"/>
                <w:color w:val="000000"/>
                <w:sz w:val="20"/>
                <w:szCs w:val="20"/>
              </w:rPr>
              <w:t xml:space="preserve">5 bits, bottom of DW0 (bits 4–0)</w:t>
            </w:r>
          </w:p>
        </w:tc>
      </w:tr>
      <w:tr>
        <w:trPr>
          <w:cantSplit/>
        </w:trPr>
        <w:tc>
          <w:tcPr>
            <w:tcW w:type="dxa" w:w="2600"/>
            <w:shd w:fill="EAF1F8" w:color="auto" w:val="clear"/>
            <w:tcMar>
              <w:top w:type="dxa" w:w="80"/>
              <w:left w:type="dxa" w:w="120"/>
              <w:bottom w:type="dxa" w:w="80"/>
              <w:right w:type="dxa" w:w="120"/>
            </w:tcMar>
            <w:vAlign w:val="center"/>
          </w:tcPr>
          <w:p>
            <w:r>
              <w:rPr>
                <w:b w:val="false"/>
                <w:bCs w:val="false"/>
                <w:color w:val="000000"/>
                <w:sz w:val="20"/>
                <w:szCs w:val="20"/>
              </w:rPr>
              <w:t xml:space="preserve">Device address</w:t>
            </w:r>
          </w:p>
        </w:tc>
        <w:tc>
          <w:tcPr>
            <w:tcW w:type="dxa" w:w="3600"/>
            <w:shd w:fill="EAF1F8" w:color="auto" w:val="clear"/>
            <w:tcMar>
              <w:top w:type="dxa" w:w="80"/>
              <w:left w:type="dxa" w:w="120"/>
              <w:bottom w:type="dxa" w:w="80"/>
              <w:right w:type="dxa" w:w="120"/>
            </w:tcMar>
            <w:vAlign w:val="center"/>
          </w:tcPr>
          <w:p>
            <w:r>
              <w:rPr>
                <w:b w:val="false"/>
                <w:bCs w:val="false"/>
                <w:color w:val="000000"/>
                <w:sz w:val="20"/>
                <w:szCs w:val="20"/>
              </w:rPr>
              <w:t xml:space="preserve">7 bits, DW0</w:t>
            </w:r>
          </w:p>
        </w:tc>
        <w:tc>
          <w:tcPr>
            <w:tcW w:type="dxa" w:w="3150"/>
            <w:shd w:fill="EAF1F8" w:color="auto" w:val="clear"/>
            <w:tcMar>
              <w:top w:type="dxa" w:w="80"/>
              <w:left w:type="dxa" w:w="120"/>
              <w:bottom w:type="dxa" w:w="80"/>
              <w:right w:type="dxa" w:w="120"/>
            </w:tcMar>
            <w:vAlign w:val="center"/>
          </w:tcPr>
          <w:p>
            <w:r>
              <w:rPr>
                <w:b w:val="false"/>
                <w:bCs w:val="false"/>
                <w:color w:val="000000"/>
                <w:sz w:val="20"/>
                <w:szCs w:val="20"/>
              </w:rPr>
              <w:t xml:space="preserve">7 bits, DW0 bits 31–25</w:t>
            </w:r>
          </w:p>
        </w:tc>
      </w:tr>
      <w:tr>
        <w:trPr>
          <w:cantSplit/>
        </w:trPr>
        <w:tc>
          <w:tcPr>
            <w:tcW w:type="dxa" w:w="2600"/>
            <w:shd w:fill="FFFFFF" w:color="auto" w:val="clear"/>
            <w:tcMar>
              <w:top w:type="dxa" w:w="80"/>
              <w:left w:type="dxa" w:w="120"/>
              <w:bottom w:type="dxa" w:w="80"/>
              <w:right w:type="dxa" w:w="120"/>
            </w:tcMar>
            <w:vAlign w:val="center"/>
          </w:tcPr>
          <w:p>
            <w:r>
              <w:rPr>
                <w:b w:val="false"/>
                <w:bCs w:val="false"/>
                <w:color w:val="000000"/>
                <w:sz w:val="20"/>
                <w:szCs w:val="20"/>
              </w:rPr>
              <w:t xml:space="preserve">Sequence number</w:t>
            </w:r>
          </w:p>
        </w:tc>
        <w:tc>
          <w:tcPr>
            <w:tcW w:type="dxa" w:w="3600"/>
            <w:shd w:fill="FFFFFF" w:color="auto" w:val="clear"/>
            <w:tcMar>
              <w:top w:type="dxa" w:w="80"/>
              <w:left w:type="dxa" w:w="120"/>
              <w:bottom w:type="dxa" w:w="80"/>
              <w:right w:type="dxa" w:w="120"/>
            </w:tcMar>
            <w:vAlign w:val="center"/>
          </w:tcPr>
          <w:p>
            <w:r>
              <w:rPr>
                <w:b w:val="false"/>
                <w:bCs w:val="false"/>
                <w:color w:val="000000"/>
                <w:sz w:val="20"/>
                <w:szCs w:val="20"/>
              </w:rPr>
              <w:t xml:space="preserve">5 bits, DW1</w:t>
            </w:r>
          </w:p>
        </w:tc>
        <w:tc>
          <w:tcPr>
            <w:tcW w:type="dxa" w:w="3150"/>
            <w:shd w:fill="FFFFFF" w:color="auto" w:val="clear"/>
            <w:tcMar>
              <w:top w:type="dxa" w:w="80"/>
              <w:left w:type="dxa" w:w="120"/>
              <w:bottom w:type="dxa" w:w="80"/>
              <w:right w:type="dxa" w:w="120"/>
            </w:tcMar>
            <w:vAlign w:val="center"/>
          </w:tcPr>
          <w:p>
            <w:r>
              <w:rPr>
                <w:b w:val="false"/>
                <w:bCs w:val="false"/>
                <w:color w:val="000000"/>
                <w:sz w:val="20"/>
                <w:szCs w:val="20"/>
              </w:rPr>
              <w:t xml:space="preserve">4 bits, DW1 bits 3–0</w:t>
            </w:r>
          </w:p>
        </w:tc>
      </w:tr>
      <w:tr>
        <w:trPr>
          <w:cantSplit/>
        </w:trPr>
        <w:tc>
          <w:tcPr>
            <w:tcW w:type="dxa" w:w="2600"/>
            <w:shd w:fill="EAF1F8" w:color="auto" w:val="clear"/>
            <w:tcMar>
              <w:top w:type="dxa" w:w="80"/>
              <w:left w:type="dxa" w:w="120"/>
              <w:bottom w:type="dxa" w:w="80"/>
              <w:right w:type="dxa" w:w="120"/>
            </w:tcMar>
            <w:vAlign w:val="center"/>
          </w:tcPr>
          <w:p>
            <w:r>
              <w:rPr>
                <w:b w:val="false"/>
                <w:bCs w:val="false"/>
                <w:color w:val="000000"/>
                <w:sz w:val="20"/>
                <w:szCs w:val="20"/>
              </w:rPr>
              <w:t xml:space="preserve">Hub depth</w:t>
            </w:r>
          </w:p>
        </w:tc>
        <w:tc>
          <w:tcPr>
            <w:tcW w:type="dxa" w:w="3600"/>
            <w:shd w:fill="EAF1F8" w:color="auto" w:val="clear"/>
            <w:tcMar>
              <w:top w:type="dxa" w:w="80"/>
              <w:left w:type="dxa" w:w="120"/>
              <w:bottom w:type="dxa" w:w="80"/>
              <w:right w:type="dxa" w:w="120"/>
            </w:tcMar>
            <w:vAlign w:val="center"/>
          </w:tcPr>
          <w:p>
            <w:r>
              <w:rPr>
                <w:b w:val="false"/>
                <w:bCs w:val="false"/>
                <w:color w:val="000000"/>
                <w:sz w:val="20"/>
                <w:szCs w:val="20"/>
              </w:rPr>
              <w:t xml:space="preserve">not modeled</w:t>
            </w:r>
          </w:p>
        </w:tc>
        <w:tc>
          <w:tcPr>
            <w:tcW w:type="dxa" w:w="3150"/>
            <w:shd w:fill="EAF1F8" w:color="auto" w:val="clear"/>
            <w:tcMar>
              <w:top w:type="dxa" w:w="80"/>
              <w:left w:type="dxa" w:w="120"/>
              <w:bottom w:type="dxa" w:w="80"/>
              <w:right w:type="dxa" w:w="120"/>
            </w:tcMar>
            <w:vAlign w:val="center"/>
          </w:tcPr>
          <w:p>
            <w:r>
              <w:rPr>
                <w:b w:val="false"/>
                <w:bCs w:val="false"/>
                <w:color w:val="000000"/>
                <w:sz w:val="20"/>
                <w:szCs w:val="20"/>
              </w:rPr>
              <w:t xml:space="preserve">3 bits, DW3 bits 24–22</w:t>
            </w:r>
          </w:p>
        </w:tc>
      </w:tr>
      <w:tr>
        <w:trPr>
          <w:cantSplit/>
        </w:trPr>
        <w:tc>
          <w:tcPr>
            <w:tcW w:type="dxa" w:w="2600"/>
            <w:shd w:fill="FFFFFF" w:color="auto" w:val="clear"/>
            <w:tcMar>
              <w:top w:type="dxa" w:w="80"/>
              <w:left w:type="dxa" w:w="120"/>
              <w:bottom w:type="dxa" w:w="80"/>
              <w:right w:type="dxa" w:w="120"/>
            </w:tcMar>
            <w:vAlign w:val="center"/>
          </w:tcPr>
          <w:p>
            <w:r>
              <w:rPr>
                <w:b w:val="false"/>
                <w:bCs w:val="false"/>
                <w:color w:val="000000"/>
                <w:sz w:val="20"/>
                <w:szCs w:val="20"/>
              </w:rPr>
              <w:t xml:space="preserve">CRC width</w:t>
            </w:r>
          </w:p>
        </w:tc>
        <w:tc>
          <w:tcPr>
            <w:tcW w:type="dxa" w:w="3600"/>
            <w:shd w:fill="FFFFFF" w:color="auto" w:val="clear"/>
            <w:tcMar>
              <w:top w:type="dxa" w:w="80"/>
              <w:left w:type="dxa" w:w="120"/>
              <w:bottom w:type="dxa" w:w="80"/>
              <w:right w:type="dxa" w:w="120"/>
            </w:tcMar>
            <w:vAlign w:val="center"/>
          </w:tcPr>
          <w:p>
            <w:r>
              <w:rPr>
                <w:b w:val="false"/>
                <w:bCs w:val="false"/>
                <w:color w:val="000000"/>
                <w:sz w:val="20"/>
                <w:szCs w:val="20"/>
              </w:rPr>
              <w:t xml:space="preserve">16-bit header CRC (DW2)</w:t>
            </w:r>
          </w:p>
        </w:tc>
        <w:tc>
          <w:tcPr>
            <w:tcW w:type="dxa" w:w="3150"/>
            <w:shd w:fill="FFFFFF" w:color="auto" w:val="clear"/>
            <w:tcMar>
              <w:top w:type="dxa" w:w="80"/>
              <w:left w:type="dxa" w:w="120"/>
              <w:bottom w:type="dxa" w:w="80"/>
              <w:right w:type="dxa" w:w="120"/>
            </w:tcMar>
            <w:vAlign w:val="center"/>
          </w:tcPr>
          <w:p>
            <w:r>
              <w:rPr>
                <w:b w:val="false"/>
                <w:bCs w:val="false"/>
                <w:color w:val="000000"/>
                <w:sz w:val="20"/>
                <w:szCs w:val="20"/>
              </w:rPr>
              <w:t xml:space="preserve">split CRC-5 (DW3) + CRC-16 (DW3)</w:t>
            </w:r>
          </w:p>
        </w:tc>
      </w:tr>
    </w:tbl>
    <w:p>
      <w:pPr>
        <w:pBdr>
          <w:left w:val="single" w:color="1F4E79" w:sz="12" w:space="8"/>
        </w:pBdr>
        <w:spacing w:after="200" w:before="80"/>
        <w:ind w:left="360"/>
      </w:pPr>
      <w:r>
        <w:rPr>
          <w:i/>
          <w:iCs/>
          <w:color w:val="595959"/>
          <w:sz w:val="20"/>
          <w:szCs w:val="20"/>
        </w:rPr>
        <w:t xml:space="preserve">This is a genuine reconciliation item, not just a documentation note: before wiring either parser into an RTL scoreboard, confirm which bit layout matches the actual DUT specification and standardize on one parser (or fix the other) so captured-packet comparisons don't silently disagree with each other.</w:t>
      </w:r>
    </w:p>
    <w:p>
      <w:pPr>
        <w:pStyle w:val="Heading2"/>
        <w:spacing w:after="150" w:before="300"/>
      </w:pPr>
      <w:r>
        <w:t xml:space="preserve">13.5 Pending Additions</w:t>
      </w:r>
    </w:p>
    <w:p>
      <w:pPr>
        <w:spacing w:after="160" w:line="276"/>
      </w:pPr>
      <w:r>
        <w:t xml:space="preserve">The following parser categories are expected to be added to this section as they're finalized — TRB (Transfer Request Block) field decoders, ERST (Event Ring Segment Table) parsers, and Command Ring parsers, extending the xHCI firmware material in Section 10 down to the same bit-level detail this section already provides for link- and packet-layer traffic. Once supplied, they slot in as Sections 13.5 onward without renumbering the rest of the guide.</w:t>
      </w:r>
    </w:p>
    <w:p>
      <w:pPr>
        <w:pStyle w:val="Heading1"/>
        <w:spacing w:after="200" w:before="400"/>
      </w:pPr>
      <w:r>
        <w:t xml:space="preserve">Appendix A: Packet Type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rPr>
          <w:tblHeader/>
        </w:trPr>
        <w:tc>
          <w:tcPr>
            <w:tcW w:type="dxa" w:w="2200"/>
            <w:shd w:fill="1F4E79" w:color="auto" w:val="clear"/>
            <w:tcMar>
              <w:top w:type="dxa" w:w="80"/>
              <w:left w:type="dxa" w:w="120"/>
              <w:bottom w:type="dxa" w:w="80"/>
              <w:right w:type="dxa" w:w="120"/>
            </w:tcMar>
            <w:vAlign w:val="center"/>
          </w:tcPr>
          <w:p>
            <w:r>
              <w:rPr>
                <w:b/>
                <w:bCs/>
                <w:color w:val="FFFFFF"/>
                <w:sz w:val="20"/>
                <w:szCs w:val="20"/>
              </w:rPr>
              <w:t xml:space="preserve">Type Field</w:t>
            </w:r>
          </w:p>
        </w:tc>
        <w:tc>
          <w:tcPr>
            <w:tcW w:type="dxa" w:w="3800"/>
            <w:shd w:fill="1F4E79" w:color="auto" w:val="clear"/>
            <w:tcMar>
              <w:top w:type="dxa" w:w="80"/>
              <w:left w:type="dxa" w:w="120"/>
              <w:bottom w:type="dxa" w:w="80"/>
              <w:right w:type="dxa" w:w="120"/>
            </w:tcMar>
            <w:vAlign w:val="center"/>
          </w:tcPr>
          <w:p>
            <w:r>
              <w:rPr>
                <w:b/>
                <w:bCs/>
                <w:color w:val="FFFFFF"/>
                <w:sz w:val="20"/>
                <w:szCs w:val="20"/>
              </w:rPr>
              <w:t xml:space="preserve">Packet</w:t>
            </w:r>
          </w:p>
        </w:tc>
        <w:tc>
          <w:tcPr>
            <w:tcW w:type="dxa" w:w="3350"/>
            <w:shd w:fill="1F4E79" w:color="auto" w:val="clear"/>
            <w:tcMar>
              <w:top w:type="dxa" w:w="80"/>
              <w:left w:type="dxa" w:w="120"/>
              <w:bottom w:type="dxa" w:w="80"/>
              <w:right w:type="dxa" w:w="120"/>
            </w:tcMar>
            <w:vAlign w:val="center"/>
          </w:tcPr>
          <w:p>
            <w:r>
              <w:rPr>
                <w:b/>
                <w:bCs/>
                <w:color w:val="FFFFFF"/>
                <w:sz w:val="20"/>
                <w:szCs w:val="20"/>
              </w:rPr>
              <w:t xml:space="preserve">Direction</w:t>
            </w:r>
          </w:p>
        </w:tc>
      </w:tr>
      <w:tr>
        <w:trPr>
          <w:cantSplit/>
        </w:trPr>
        <w:tc>
          <w:tcPr>
            <w:tcW w:type="dxa" w:w="2200"/>
            <w:shd w:fill="FFFFFF" w:color="auto" w:val="clear"/>
            <w:tcMar>
              <w:top w:type="dxa" w:w="80"/>
              <w:left w:type="dxa" w:w="120"/>
              <w:bottom w:type="dxa" w:w="80"/>
              <w:right w:type="dxa" w:w="120"/>
            </w:tcMar>
            <w:vAlign w:val="center"/>
          </w:tcPr>
          <w:p>
            <w:r>
              <w:rPr>
                <w:b w:val="false"/>
                <w:bCs w:val="false"/>
                <w:color w:val="000000"/>
                <w:sz w:val="20"/>
                <w:szCs w:val="20"/>
              </w:rPr>
              <w:t xml:space="preserve">0001b</w:t>
            </w:r>
          </w:p>
        </w:tc>
        <w:tc>
          <w:tcPr>
            <w:tcW w:type="dxa" w:w="3800"/>
            <w:shd w:fill="FFFFFF" w:color="auto" w:val="clear"/>
            <w:tcMar>
              <w:top w:type="dxa" w:w="80"/>
              <w:left w:type="dxa" w:w="120"/>
              <w:bottom w:type="dxa" w:w="80"/>
              <w:right w:type="dxa" w:w="120"/>
            </w:tcMar>
            <w:vAlign w:val="center"/>
          </w:tcPr>
          <w:p>
            <w:r>
              <w:rPr>
                <w:b w:val="false"/>
                <w:bCs w:val="false"/>
                <w:color w:val="000000"/>
                <w:sz w:val="20"/>
                <w:szCs w:val="20"/>
              </w:rPr>
              <w:t xml:space="preserve">ACK</w:t>
            </w:r>
          </w:p>
        </w:tc>
        <w:tc>
          <w:tcPr>
            <w:tcW w:type="dxa" w:w="3350"/>
            <w:shd w:fill="FFFFFF" w:color="auto" w:val="clear"/>
            <w:tcMar>
              <w:top w:type="dxa" w:w="80"/>
              <w:left w:type="dxa" w:w="120"/>
              <w:bottom w:type="dxa" w:w="80"/>
              <w:right w:type="dxa" w:w="120"/>
            </w:tcMar>
            <w:vAlign w:val="center"/>
          </w:tcPr>
          <w:p>
            <w:r>
              <w:rPr>
                <w:b w:val="false"/>
                <w:bCs w:val="false"/>
                <w:color w:val="000000"/>
                <w:sz w:val="20"/>
                <w:szCs w:val="20"/>
              </w:rPr>
              <w:t xml:space="preserve">Bidirectional</w:t>
            </w:r>
          </w:p>
        </w:tc>
      </w:tr>
      <w:tr>
        <w:trPr>
          <w:cantSplit/>
        </w:trPr>
        <w:tc>
          <w:tcPr>
            <w:tcW w:type="dxa" w:w="2200"/>
            <w:shd w:fill="EAF1F8" w:color="auto" w:val="clear"/>
            <w:tcMar>
              <w:top w:type="dxa" w:w="80"/>
              <w:left w:type="dxa" w:w="120"/>
              <w:bottom w:type="dxa" w:w="80"/>
              <w:right w:type="dxa" w:w="120"/>
            </w:tcMar>
            <w:vAlign w:val="center"/>
          </w:tcPr>
          <w:p>
            <w:r>
              <w:rPr>
                <w:b w:val="false"/>
                <w:bCs w:val="false"/>
                <w:color w:val="000000"/>
                <w:sz w:val="20"/>
                <w:szCs w:val="20"/>
              </w:rPr>
              <w:t xml:space="preserve">0010b</w:t>
            </w:r>
          </w:p>
        </w:tc>
        <w:tc>
          <w:tcPr>
            <w:tcW w:type="dxa" w:w="3800"/>
            <w:shd w:fill="EAF1F8" w:color="auto" w:val="clear"/>
            <w:tcMar>
              <w:top w:type="dxa" w:w="80"/>
              <w:left w:type="dxa" w:w="120"/>
              <w:bottom w:type="dxa" w:w="80"/>
              <w:right w:type="dxa" w:w="120"/>
            </w:tcMar>
            <w:vAlign w:val="center"/>
          </w:tcPr>
          <w:p>
            <w:r>
              <w:rPr>
                <w:b w:val="false"/>
                <w:bCs w:val="false"/>
                <w:color w:val="000000"/>
                <w:sz w:val="20"/>
                <w:szCs w:val="20"/>
              </w:rPr>
              <w:t xml:space="preserve">NRDY</w:t>
            </w:r>
          </w:p>
        </w:tc>
        <w:tc>
          <w:tcPr>
            <w:tcW w:type="dxa" w:w="3350"/>
            <w:shd w:fill="EAF1F8" w:color="auto" w:val="clear"/>
            <w:tcMar>
              <w:top w:type="dxa" w:w="80"/>
              <w:left w:type="dxa" w:w="120"/>
              <w:bottom w:type="dxa" w:w="80"/>
              <w:right w:type="dxa" w:w="120"/>
            </w:tcMar>
            <w:vAlign w:val="center"/>
          </w:tcPr>
          <w:p>
            <w:r>
              <w:rPr>
                <w:b w:val="false"/>
                <w:bCs w:val="false"/>
                <w:color w:val="000000"/>
                <w:sz w:val="20"/>
                <w:szCs w:val="20"/>
              </w:rPr>
              <w:t xml:space="preserve">Upstream</w:t>
            </w:r>
          </w:p>
        </w:tc>
      </w:tr>
      <w:tr>
        <w:trPr>
          <w:cantSplit/>
        </w:trPr>
        <w:tc>
          <w:tcPr>
            <w:tcW w:type="dxa" w:w="2200"/>
            <w:shd w:fill="FFFFFF" w:color="auto" w:val="clear"/>
            <w:tcMar>
              <w:top w:type="dxa" w:w="80"/>
              <w:left w:type="dxa" w:w="120"/>
              <w:bottom w:type="dxa" w:w="80"/>
              <w:right w:type="dxa" w:w="120"/>
            </w:tcMar>
            <w:vAlign w:val="center"/>
          </w:tcPr>
          <w:p>
            <w:r>
              <w:rPr>
                <w:b w:val="false"/>
                <w:bCs w:val="false"/>
                <w:color w:val="000000"/>
                <w:sz w:val="20"/>
                <w:szCs w:val="20"/>
              </w:rPr>
              <w:t xml:space="preserve">0011b</w:t>
            </w:r>
          </w:p>
        </w:tc>
        <w:tc>
          <w:tcPr>
            <w:tcW w:type="dxa" w:w="3800"/>
            <w:shd w:fill="FFFFFF" w:color="auto" w:val="clear"/>
            <w:tcMar>
              <w:top w:type="dxa" w:w="80"/>
              <w:left w:type="dxa" w:w="120"/>
              <w:bottom w:type="dxa" w:w="80"/>
              <w:right w:type="dxa" w:w="120"/>
            </w:tcMar>
            <w:vAlign w:val="center"/>
          </w:tcPr>
          <w:p>
            <w:r>
              <w:rPr>
                <w:b w:val="false"/>
                <w:bCs w:val="false"/>
                <w:color w:val="000000"/>
                <w:sz w:val="20"/>
                <w:szCs w:val="20"/>
              </w:rPr>
              <w:t xml:space="preserve">ERDY</w:t>
            </w:r>
          </w:p>
        </w:tc>
        <w:tc>
          <w:tcPr>
            <w:tcW w:type="dxa" w:w="3350"/>
            <w:shd w:fill="FFFFFF" w:color="auto" w:val="clear"/>
            <w:tcMar>
              <w:top w:type="dxa" w:w="80"/>
              <w:left w:type="dxa" w:w="120"/>
              <w:bottom w:type="dxa" w:w="80"/>
              <w:right w:type="dxa" w:w="120"/>
            </w:tcMar>
            <w:vAlign w:val="center"/>
          </w:tcPr>
          <w:p>
            <w:r>
              <w:rPr>
                <w:b w:val="false"/>
                <w:bCs w:val="false"/>
                <w:color w:val="000000"/>
                <w:sz w:val="20"/>
                <w:szCs w:val="20"/>
              </w:rPr>
              <w:t xml:space="preserve">Upstream</w:t>
            </w:r>
          </w:p>
        </w:tc>
      </w:tr>
      <w:tr>
        <w:trPr>
          <w:cantSplit/>
        </w:trPr>
        <w:tc>
          <w:tcPr>
            <w:tcW w:type="dxa" w:w="2200"/>
            <w:shd w:fill="EAF1F8" w:color="auto" w:val="clear"/>
            <w:tcMar>
              <w:top w:type="dxa" w:w="80"/>
              <w:left w:type="dxa" w:w="120"/>
              <w:bottom w:type="dxa" w:w="80"/>
              <w:right w:type="dxa" w:w="120"/>
            </w:tcMar>
            <w:vAlign w:val="center"/>
          </w:tcPr>
          <w:p>
            <w:r>
              <w:rPr>
                <w:b w:val="false"/>
                <w:bCs w:val="false"/>
                <w:color w:val="000000"/>
                <w:sz w:val="20"/>
                <w:szCs w:val="20"/>
              </w:rPr>
              <w:t xml:space="preserve">0100b</w:t>
            </w:r>
          </w:p>
        </w:tc>
        <w:tc>
          <w:tcPr>
            <w:tcW w:type="dxa" w:w="3800"/>
            <w:shd w:fill="EAF1F8" w:color="auto" w:val="clear"/>
            <w:tcMar>
              <w:top w:type="dxa" w:w="80"/>
              <w:left w:type="dxa" w:w="120"/>
              <w:bottom w:type="dxa" w:w="80"/>
              <w:right w:type="dxa" w:w="120"/>
            </w:tcMar>
            <w:vAlign w:val="center"/>
          </w:tcPr>
          <w:p>
            <w:r>
              <w:rPr>
                <w:b w:val="false"/>
                <w:bCs w:val="false"/>
                <w:color w:val="000000"/>
                <w:sz w:val="20"/>
                <w:szCs w:val="20"/>
              </w:rPr>
              <w:t xml:space="preserve">STATUS</w:t>
            </w:r>
          </w:p>
        </w:tc>
        <w:tc>
          <w:tcPr>
            <w:tcW w:type="dxa" w:w="3350"/>
            <w:shd w:fill="EAF1F8" w:color="auto" w:val="clear"/>
            <w:tcMar>
              <w:top w:type="dxa" w:w="80"/>
              <w:left w:type="dxa" w:w="120"/>
              <w:bottom w:type="dxa" w:w="80"/>
              <w:right w:type="dxa" w:w="120"/>
            </w:tcMar>
            <w:vAlign w:val="center"/>
          </w:tcPr>
          <w:p>
            <w:r>
              <w:rPr>
                <w:b w:val="false"/>
                <w:bCs w:val="false"/>
                <w:color w:val="000000"/>
                <w:sz w:val="20"/>
                <w:szCs w:val="20"/>
              </w:rPr>
              <w:t xml:space="preserve">Downstream</w:t>
            </w:r>
          </w:p>
        </w:tc>
      </w:tr>
      <w:tr>
        <w:trPr>
          <w:cantSplit/>
        </w:trPr>
        <w:tc>
          <w:tcPr>
            <w:tcW w:type="dxa" w:w="2200"/>
            <w:shd w:fill="FFFFFF" w:color="auto" w:val="clear"/>
            <w:tcMar>
              <w:top w:type="dxa" w:w="80"/>
              <w:left w:type="dxa" w:w="120"/>
              <w:bottom w:type="dxa" w:w="80"/>
              <w:right w:type="dxa" w:w="120"/>
            </w:tcMar>
            <w:vAlign w:val="center"/>
          </w:tcPr>
          <w:p>
            <w:r>
              <w:rPr>
                <w:b w:val="false"/>
                <w:bCs w:val="false"/>
                <w:color w:val="000000"/>
                <w:sz w:val="20"/>
                <w:szCs w:val="20"/>
              </w:rPr>
              <w:t xml:space="preserve">0101b</w:t>
            </w:r>
          </w:p>
        </w:tc>
        <w:tc>
          <w:tcPr>
            <w:tcW w:type="dxa" w:w="3800"/>
            <w:shd w:fill="FFFFFF" w:color="auto" w:val="clear"/>
            <w:tcMar>
              <w:top w:type="dxa" w:w="80"/>
              <w:left w:type="dxa" w:w="120"/>
              <w:bottom w:type="dxa" w:w="80"/>
              <w:right w:type="dxa" w:w="120"/>
            </w:tcMar>
            <w:vAlign w:val="center"/>
          </w:tcPr>
          <w:p>
            <w:r>
              <w:rPr>
                <w:b w:val="false"/>
                <w:bCs w:val="false"/>
                <w:color w:val="000000"/>
                <w:sz w:val="20"/>
                <w:szCs w:val="20"/>
              </w:rPr>
              <w:t xml:space="preserve">STALL</w:t>
            </w:r>
          </w:p>
        </w:tc>
        <w:tc>
          <w:tcPr>
            <w:tcW w:type="dxa" w:w="3350"/>
            <w:shd w:fill="FFFFFF" w:color="auto" w:val="clear"/>
            <w:tcMar>
              <w:top w:type="dxa" w:w="80"/>
              <w:left w:type="dxa" w:w="120"/>
              <w:bottom w:type="dxa" w:w="80"/>
              <w:right w:type="dxa" w:w="120"/>
            </w:tcMar>
            <w:vAlign w:val="center"/>
          </w:tcPr>
          <w:p>
            <w:r>
              <w:rPr>
                <w:b w:val="false"/>
                <w:bCs w:val="false"/>
                <w:color w:val="000000"/>
                <w:sz w:val="20"/>
                <w:szCs w:val="20"/>
              </w:rPr>
              <w:t xml:space="preserve">Upstream</w:t>
            </w:r>
          </w:p>
        </w:tc>
      </w:tr>
      <w:tr>
        <w:trPr>
          <w:cantSplit/>
        </w:trPr>
        <w:tc>
          <w:tcPr>
            <w:tcW w:type="dxa" w:w="2200"/>
            <w:shd w:fill="EAF1F8" w:color="auto" w:val="clear"/>
            <w:tcMar>
              <w:top w:type="dxa" w:w="80"/>
              <w:left w:type="dxa" w:w="120"/>
              <w:bottom w:type="dxa" w:w="80"/>
              <w:right w:type="dxa" w:w="120"/>
            </w:tcMar>
            <w:vAlign w:val="center"/>
          </w:tcPr>
          <w:p>
            <w:r>
              <w:rPr>
                <w:b w:val="false"/>
                <w:bCs w:val="false"/>
                <w:color w:val="000000"/>
                <w:sz w:val="20"/>
                <w:szCs w:val="20"/>
              </w:rPr>
              <w:t xml:space="preserve">0110b</w:t>
            </w:r>
          </w:p>
        </w:tc>
        <w:tc>
          <w:tcPr>
            <w:tcW w:type="dxa" w:w="3800"/>
            <w:shd w:fill="EAF1F8" w:color="auto" w:val="clear"/>
            <w:tcMar>
              <w:top w:type="dxa" w:w="80"/>
              <w:left w:type="dxa" w:w="120"/>
              <w:bottom w:type="dxa" w:w="80"/>
              <w:right w:type="dxa" w:w="120"/>
            </w:tcMar>
            <w:vAlign w:val="center"/>
          </w:tcPr>
          <w:p>
            <w:r>
              <w:rPr>
                <w:b w:val="false"/>
                <w:bCs w:val="false"/>
                <w:color w:val="000000"/>
                <w:sz w:val="20"/>
                <w:szCs w:val="20"/>
              </w:rPr>
              <w:t xml:space="preserve">NOTIFICATION</w:t>
            </w:r>
          </w:p>
        </w:tc>
        <w:tc>
          <w:tcPr>
            <w:tcW w:type="dxa" w:w="3350"/>
            <w:shd w:fill="EAF1F8" w:color="auto" w:val="clear"/>
            <w:tcMar>
              <w:top w:type="dxa" w:w="80"/>
              <w:left w:type="dxa" w:w="120"/>
              <w:bottom w:type="dxa" w:w="80"/>
              <w:right w:type="dxa" w:w="120"/>
            </w:tcMar>
            <w:vAlign w:val="center"/>
          </w:tcPr>
          <w:p>
            <w:r>
              <w:rPr>
                <w:b w:val="false"/>
                <w:bCs w:val="false"/>
                <w:color w:val="000000"/>
                <w:sz w:val="20"/>
                <w:szCs w:val="20"/>
              </w:rPr>
              <w:t xml:space="preserve">Upstream</w:t>
            </w:r>
          </w:p>
        </w:tc>
      </w:tr>
      <w:tr>
        <w:trPr>
          <w:cantSplit/>
        </w:trPr>
        <w:tc>
          <w:tcPr>
            <w:tcW w:type="dxa" w:w="2200"/>
            <w:shd w:fill="FFFFFF" w:color="auto" w:val="clear"/>
            <w:tcMar>
              <w:top w:type="dxa" w:w="80"/>
              <w:left w:type="dxa" w:w="120"/>
              <w:bottom w:type="dxa" w:w="80"/>
              <w:right w:type="dxa" w:w="120"/>
            </w:tcMar>
            <w:vAlign w:val="center"/>
          </w:tcPr>
          <w:p>
            <w:r>
              <w:rPr>
                <w:b w:val="false"/>
                <w:bCs w:val="false"/>
                <w:color w:val="000000"/>
                <w:sz w:val="20"/>
                <w:szCs w:val="20"/>
              </w:rPr>
              <w:t xml:space="preserve">0111b</w:t>
            </w:r>
          </w:p>
        </w:tc>
        <w:tc>
          <w:tcPr>
            <w:tcW w:type="dxa" w:w="3800"/>
            <w:shd w:fill="FFFFFF" w:color="auto" w:val="clear"/>
            <w:tcMar>
              <w:top w:type="dxa" w:w="80"/>
              <w:left w:type="dxa" w:w="120"/>
              <w:bottom w:type="dxa" w:w="80"/>
              <w:right w:type="dxa" w:w="120"/>
            </w:tcMar>
            <w:vAlign w:val="center"/>
          </w:tcPr>
          <w:p>
            <w:r>
              <w:rPr>
                <w:b w:val="false"/>
                <w:bCs w:val="false"/>
                <w:color w:val="000000"/>
                <w:sz w:val="20"/>
                <w:szCs w:val="20"/>
              </w:rPr>
              <w:t xml:space="preserve">PING</w:t>
            </w:r>
          </w:p>
        </w:tc>
        <w:tc>
          <w:tcPr>
            <w:tcW w:type="dxa" w:w="3350"/>
            <w:shd w:fill="FFFFFF" w:color="auto" w:val="clear"/>
            <w:tcMar>
              <w:top w:type="dxa" w:w="80"/>
              <w:left w:type="dxa" w:w="120"/>
              <w:bottom w:type="dxa" w:w="80"/>
              <w:right w:type="dxa" w:w="120"/>
            </w:tcMar>
            <w:vAlign w:val="center"/>
          </w:tcPr>
          <w:p>
            <w:r>
              <w:rPr>
                <w:b w:val="false"/>
                <w:bCs w:val="false"/>
                <w:color w:val="000000"/>
                <w:sz w:val="20"/>
                <w:szCs w:val="20"/>
              </w:rPr>
              <w:t xml:space="preserve">Downstream</w:t>
            </w:r>
          </w:p>
        </w:tc>
      </w:tr>
      <w:tr>
        <w:trPr>
          <w:cantSplit/>
        </w:trPr>
        <w:tc>
          <w:tcPr>
            <w:tcW w:type="dxa" w:w="2200"/>
            <w:shd w:fill="EAF1F8" w:color="auto" w:val="clear"/>
            <w:tcMar>
              <w:top w:type="dxa" w:w="80"/>
              <w:left w:type="dxa" w:w="120"/>
              <w:bottom w:type="dxa" w:w="80"/>
              <w:right w:type="dxa" w:w="120"/>
            </w:tcMar>
            <w:vAlign w:val="center"/>
          </w:tcPr>
          <w:p>
            <w:r>
              <w:rPr>
                <w:b w:val="false"/>
                <w:bCs w:val="false"/>
                <w:color w:val="000000"/>
                <w:sz w:val="20"/>
                <w:szCs w:val="20"/>
              </w:rPr>
              <w:t xml:space="preserve">1000b</w:t>
            </w:r>
          </w:p>
        </w:tc>
        <w:tc>
          <w:tcPr>
            <w:tcW w:type="dxa" w:w="3800"/>
            <w:shd w:fill="EAF1F8" w:color="auto" w:val="clear"/>
            <w:tcMar>
              <w:top w:type="dxa" w:w="80"/>
              <w:left w:type="dxa" w:w="120"/>
              <w:bottom w:type="dxa" w:w="80"/>
              <w:right w:type="dxa" w:w="120"/>
            </w:tcMar>
            <w:vAlign w:val="center"/>
          </w:tcPr>
          <w:p>
            <w:r>
              <w:rPr>
                <w:b w:val="false"/>
                <w:bCs w:val="false"/>
                <w:color w:val="000000"/>
                <w:sz w:val="20"/>
                <w:szCs w:val="20"/>
              </w:rPr>
              <w:t xml:space="preserve">PING RESPONSE</w:t>
            </w:r>
          </w:p>
        </w:tc>
        <w:tc>
          <w:tcPr>
            <w:tcW w:type="dxa" w:w="3350"/>
            <w:shd w:fill="EAF1F8" w:color="auto" w:val="clear"/>
            <w:tcMar>
              <w:top w:type="dxa" w:w="80"/>
              <w:left w:type="dxa" w:w="120"/>
              <w:bottom w:type="dxa" w:w="80"/>
              <w:right w:type="dxa" w:w="120"/>
            </w:tcMar>
            <w:vAlign w:val="center"/>
          </w:tcPr>
          <w:p>
            <w:r>
              <w:rPr>
                <w:b w:val="false"/>
                <w:bCs w:val="false"/>
                <w:color w:val="000000"/>
                <w:sz w:val="20"/>
                <w:szCs w:val="20"/>
              </w:rPr>
              <w:t xml:space="preserve">Upstream</w:t>
            </w:r>
          </w:p>
        </w:tc>
      </w:tr>
    </w:tbl>
    <w:p>
      <w:pPr>
        <w:pStyle w:val="Heading1"/>
        <w:spacing w:after="200" w:before="400"/>
      </w:pPr>
      <w:r>
        <w:t xml:space="preserve">Appendix B: Standard Request Codes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rPr>
          <w:tblHeader/>
        </w:trPr>
        <w:tc>
          <w:tcPr>
            <w:tcW w:type="dxa" w:w="2200"/>
            <w:shd w:fill="1F4E79" w:color="auto" w:val="clear"/>
            <w:tcMar>
              <w:top w:type="dxa" w:w="80"/>
              <w:left w:type="dxa" w:w="120"/>
              <w:bottom w:type="dxa" w:w="80"/>
              <w:right w:type="dxa" w:w="120"/>
            </w:tcMar>
            <w:vAlign w:val="center"/>
          </w:tcPr>
          <w:p>
            <w:r>
              <w:rPr>
                <w:b/>
                <w:bCs/>
                <w:color w:val="FFFFFF"/>
                <w:sz w:val="20"/>
                <w:szCs w:val="20"/>
              </w:rPr>
              <w:t xml:space="preserve">bRequest</w:t>
            </w:r>
          </w:p>
        </w:tc>
        <w:tc>
          <w:tcPr>
            <w:tcW w:type="dxa" w:w="3800"/>
            <w:shd w:fill="1F4E79" w:color="auto" w:val="clear"/>
            <w:tcMar>
              <w:top w:type="dxa" w:w="80"/>
              <w:left w:type="dxa" w:w="120"/>
              <w:bottom w:type="dxa" w:w="80"/>
              <w:right w:type="dxa" w:w="120"/>
            </w:tcMar>
            <w:vAlign w:val="center"/>
          </w:tcPr>
          <w:p>
            <w:r>
              <w:rPr>
                <w:b/>
                <w:bCs/>
                <w:color w:val="FFFFFF"/>
                <w:sz w:val="20"/>
                <w:szCs w:val="20"/>
              </w:rPr>
              <w:t xml:space="preserve">Request</w:t>
            </w:r>
          </w:p>
        </w:tc>
        <w:tc>
          <w:tcPr>
            <w:tcW w:type="dxa" w:w="3350"/>
            <w:shd w:fill="1F4E79" w:color="auto" w:val="clear"/>
            <w:tcMar>
              <w:top w:type="dxa" w:w="80"/>
              <w:left w:type="dxa" w:w="120"/>
              <w:bottom w:type="dxa" w:w="80"/>
              <w:right w:type="dxa" w:w="120"/>
            </w:tcMar>
            <w:vAlign w:val="center"/>
          </w:tcPr>
          <w:p>
            <w:r>
              <w:rPr>
                <w:b/>
                <w:bCs/>
                <w:color w:val="FFFFFF"/>
                <w:sz w:val="20"/>
                <w:szCs w:val="20"/>
              </w:rPr>
              <w:t xml:space="preserve">bmRequestType (top bit)</w:t>
            </w:r>
          </w:p>
        </w:tc>
      </w:tr>
      <w:tr>
        <w:trPr>
          <w:cantSplit/>
        </w:trPr>
        <w:tc>
          <w:tcPr>
            <w:tcW w:type="dxa" w:w="2200"/>
            <w:shd w:fill="FFFFFF" w:color="auto" w:val="clear"/>
            <w:tcMar>
              <w:top w:type="dxa" w:w="80"/>
              <w:left w:type="dxa" w:w="120"/>
              <w:bottom w:type="dxa" w:w="80"/>
              <w:right w:type="dxa" w:w="120"/>
            </w:tcMar>
            <w:vAlign w:val="center"/>
          </w:tcPr>
          <w:p>
            <w:r>
              <w:rPr>
                <w:b w:val="false"/>
                <w:bCs w:val="false"/>
                <w:color w:val="000000"/>
                <w:sz w:val="20"/>
                <w:szCs w:val="20"/>
              </w:rPr>
              <w:t xml:space="preserve">05h</w:t>
            </w:r>
          </w:p>
        </w:tc>
        <w:tc>
          <w:tcPr>
            <w:tcW w:type="dxa" w:w="3800"/>
            <w:shd w:fill="FFFFFF" w:color="auto" w:val="clear"/>
            <w:tcMar>
              <w:top w:type="dxa" w:w="80"/>
              <w:left w:type="dxa" w:w="120"/>
              <w:bottom w:type="dxa" w:w="80"/>
              <w:right w:type="dxa" w:w="120"/>
            </w:tcMar>
            <w:vAlign w:val="center"/>
          </w:tcPr>
          <w:p>
            <w:r>
              <w:rPr>
                <w:b w:val="false"/>
                <w:bCs w:val="false"/>
                <w:color w:val="000000"/>
                <w:sz w:val="20"/>
                <w:szCs w:val="20"/>
              </w:rPr>
              <w:t xml:space="preserve">SET_ADDRESS</w:t>
            </w:r>
          </w:p>
        </w:tc>
        <w:tc>
          <w:tcPr>
            <w:tcW w:type="dxa" w:w="3350"/>
            <w:shd w:fill="FFFFFF" w:color="auto" w:val="clear"/>
            <w:tcMar>
              <w:top w:type="dxa" w:w="80"/>
              <w:left w:type="dxa" w:w="120"/>
              <w:bottom w:type="dxa" w:w="80"/>
              <w:right w:type="dxa" w:w="120"/>
            </w:tcMar>
            <w:vAlign w:val="center"/>
          </w:tcPr>
          <w:p>
            <w:r>
              <w:rPr>
                <w:b w:val="false"/>
                <w:bCs w:val="false"/>
                <w:color w:val="000000"/>
                <w:sz w:val="20"/>
                <w:szCs w:val="20"/>
              </w:rPr>
              <w:t xml:space="preserve">00h — host→device</w:t>
            </w:r>
          </w:p>
        </w:tc>
      </w:tr>
      <w:tr>
        <w:trPr>
          <w:cantSplit/>
        </w:trPr>
        <w:tc>
          <w:tcPr>
            <w:tcW w:type="dxa" w:w="2200"/>
            <w:shd w:fill="EAF1F8" w:color="auto" w:val="clear"/>
            <w:tcMar>
              <w:top w:type="dxa" w:w="80"/>
              <w:left w:type="dxa" w:w="120"/>
              <w:bottom w:type="dxa" w:w="80"/>
              <w:right w:type="dxa" w:w="120"/>
            </w:tcMar>
            <w:vAlign w:val="center"/>
          </w:tcPr>
          <w:p>
            <w:r>
              <w:rPr>
                <w:b w:val="false"/>
                <w:bCs w:val="false"/>
                <w:color w:val="000000"/>
                <w:sz w:val="20"/>
                <w:szCs w:val="20"/>
              </w:rPr>
              <w:t xml:space="preserve">06h</w:t>
            </w:r>
          </w:p>
        </w:tc>
        <w:tc>
          <w:tcPr>
            <w:tcW w:type="dxa" w:w="3800"/>
            <w:shd w:fill="EAF1F8" w:color="auto" w:val="clear"/>
            <w:tcMar>
              <w:top w:type="dxa" w:w="80"/>
              <w:left w:type="dxa" w:w="120"/>
              <w:bottom w:type="dxa" w:w="80"/>
              <w:right w:type="dxa" w:w="120"/>
            </w:tcMar>
            <w:vAlign w:val="center"/>
          </w:tcPr>
          <w:p>
            <w:r>
              <w:rPr>
                <w:b w:val="false"/>
                <w:bCs w:val="false"/>
                <w:color w:val="000000"/>
                <w:sz w:val="20"/>
                <w:szCs w:val="20"/>
              </w:rPr>
              <w:t xml:space="preserve">GET_DESCRIPTOR</w:t>
            </w:r>
          </w:p>
        </w:tc>
        <w:tc>
          <w:tcPr>
            <w:tcW w:type="dxa" w:w="3350"/>
            <w:shd w:fill="EAF1F8" w:color="auto" w:val="clear"/>
            <w:tcMar>
              <w:top w:type="dxa" w:w="80"/>
              <w:left w:type="dxa" w:w="120"/>
              <w:bottom w:type="dxa" w:w="80"/>
              <w:right w:type="dxa" w:w="120"/>
            </w:tcMar>
            <w:vAlign w:val="center"/>
          </w:tcPr>
          <w:p>
            <w:r>
              <w:rPr>
                <w:b w:val="false"/>
                <w:bCs w:val="false"/>
                <w:color w:val="000000"/>
                <w:sz w:val="20"/>
                <w:szCs w:val="20"/>
              </w:rPr>
              <w:t xml:space="preserve">80h — device→host</w:t>
            </w:r>
          </w:p>
        </w:tc>
      </w:tr>
      <w:tr>
        <w:trPr>
          <w:cantSplit/>
        </w:trPr>
        <w:tc>
          <w:tcPr>
            <w:tcW w:type="dxa" w:w="2200"/>
            <w:shd w:fill="FFFFFF" w:color="auto" w:val="clear"/>
            <w:tcMar>
              <w:top w:type="dxa" w:w="80"/>
              <w:left w:type="dxa" w:w="120"/>
              <w:bottom w:type="dxa" w:w="80"/>
              <w:right w:type="dxa" w:w="120"/>
            </w:tcMar>
            <w:vAlign w:val="center"/>
          </w:tcPr>
          <w:p>
            <w:r>
              <w:rPr>
                <w:b w:val="false"/>
                <w:bCs w:val="false"/>
                <w:color w:val="000000"/>
                <w:sz w:val="20"/>
                <w:szCs w:val="20"/>
              </w:rPr>
              <w:t xml:space="preserve">08h</w:t>
            </w:r>
          </w:p>
        </w:tc>
        <w:tc>
          <w:tcPr>
            <w:tcW w:type="dxa" w:w="3800"/>
            <w:shd w:fill="FFFFFF" w:color="auto" w:val="clear"/>
            <w:tcMar>
              <w:top w:type="dxa" w:w="80"/>
              <w:left w:type="dxa" w:w="120"/>
              <w:bottom w:type="dxa" w:w="80"/>
              <w:right w:type="dxa" w:w="120"/>
            </w:tcMar>
            <w:vAlign w:val="center"/>
          </w:tcPr>
          <w:p>
            <w:r>
              <w:rPr>
                <w:b w:val="false"/>
                <w:bCs w:val="false"/>
                <w:color w:val="000000"/>
                <w:sz w:val="20"/>
                <w:szCs w:val="20"/>
              </w:rPr>
              <w:t xml:space="preserve">GET_CONFIGURATION</w:t>
            </w:r>
          </w:p>
        </w:tc>
        <w:tc>
          <w:tcPr>
            <w:tcW w:type="dxa" w:w="3350"/>
            <w:shd w:fill="FFFFFF" w:color="auto" w:val="clear"/>
            <w:tcMar>
              <w:top w:type="dxa" w:w="80"/>
              <w:left w:type="dxa" w:w="120"/>
              <w:bottom w:type="dxa" w:w="80"/>
              <w:right w:type="dxa" w:w="120"/>
            </w:tcMar>
            <w:vAlign w:val="center"/>
          </w:tcPr>
          <w:p>
            <w:r>
              <w:rPr>
                <w:b w:val="false"/>
                <w:bCs w:val="false"/>
                <w:color w:val="000000"/>
                <w:sz w:val="20"/>
                <w:szCs w:val="20"/>
              </w:rPr>
              <w:t xml:space="preserve">80h — device→host</w:t>
            </w:r>
          </w:p>
        </w:tc>
      </w:tr>
      <w:tr>
        <w:trPr>
          <w:cantSplit/>
        </w:trPr>
        <w:tc>
          <w:tcPr>
            <w:tcW w:type="dxa" w:w="2200"/>
            <w:shd w:fill="EAF1F8" w:color="auto" w:val="clear"/>
            <w:tcMar>
              <w:top w:type="dxa" w:w="80"/>
              <w:left w:type="dxa" w:w="120"/>
              <w:bottom w:type="dxa" w:w="80"/>
              <w:right w:type="dxa" w:w="120"/>
            </w:tcMar>
            <w:vAlign w:val="center"/>
          </w:tcPr>
          <w:p>
            <w:r>
              <w:rPr>
                <w:b w:val="false"/>
                <w:bCs w:val="false"/>
                <w:color w:val="000000"/>
                <w:sz w:val="20"/>
                <w:szCs w:val="20"/>
              </w:rPr>
              <w:t xml:space="preserve">09h</w:t>
            </w:r>
          </w:p>
        </w:tc>
        <w:tc>
          <w:tcPr>
            <w:tcW w:type="dxa" w:w="3800"/>
            <w:shd w:fill="EAF1F8" w:color="auto" w:val="clear"/>
            <w:tcMar>
              <w:top w:type="dxa" w:w="80"/>
              <w:left w:type="dxa" w:w="120"/>
              <w:bottom w:type="dxa" w:w="80"/>
              <w:right w:type="dxa" w:w="120"/>
            </w:tcMar>
            <w:vAlign w:val="center"/>
          </w:tcPr>
          <w:p>
            <w:r>
              <w:rPr>
                <w:b w:val="false"/>
                <w:bCs w:val="false"/>
                <w:color w:val="000000"/>
                <w:sz w:val="20"/>
                <w:szCs w:val="20"/>
              </w:rPr>
              <w:t xml:space="preserve">SET_CONFIGURATION</w:t>
            </w:r>
          </w:p>
        </w:tc>
        <w:tc>
          <w:tcPr>
            <w:tcW w:type="dxa" w:w="3350"/>
            <w:shd w:fill="EAF1F8" w:color="auto" w:val="clear"/>
            <w:tcMar>
              <w:top w:type="dxa" w:w="80"/>
              <w:left w:type="dxa" w:w="120"/>
              <w:bottom w:type="dxa" w:w="80"/>
              <w:right w:type="dxa" w:w="120"/>
            </w:tcMar>
            <w:vAlign w:val="center"/>
          </w:tcPr>
          <w:p>
            <w:r>
              <w:rPr>
                <w:b w:val="false"/>
                <w:bCs w:val="false"/>
                <w:color w:val="000000"/>
                <w:sz w:val="20"/>
                <w:szCs w:val="20"/>
              </w:rPr>
              <w:t xml:space="preserve">00h — host→device</w:t>
            </w:r>
          </w:p>
        </w:tc>
      </w:tr>
    </w:tbl>
    <w:p>
      <w:pPr>
        <w:pStyle w:val="Heading1"/>
        <w:spacing w:after="200" w:before="400"/>
      </w:pPr>
      <w:r>
        <w:t xml:space="preserve">Appendix C: Source Repository Index</w:t>
      </w:r>
    </w:p>
    <w:p>
      <w:pPr>
        <w:spacing w:after="160" w:line="276"/>
      </w:pPr>
      <w:r>
        <w:t xml:space="preserve">Reference parsers documented in Section 13, from the Revision-Verilog repository's Infra directory: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50"/>
      </w:tblGrid>
      <w:tr>
        <w:trPr>
          <w:tblHeader/>
        </w:trPr>
        <w:tc>
          <w:tcPr>
            <w:tcW w:type="dxa" w:w="3000"/>
            <w:shd w:fill="1F4E79" w:color="auto" w:val="clear"/>
            <w:tcMar>
              <w:top w:type="dxa" w:w="80"/>
              <w:left w:type="dxa" w:w="120"/>
              <w:bottom w:type="dxa" w:w="80"/>
              <w:right w:type="dxa" w:w="120"/>
            </w:tcMar>
            <w:vAlign w:val="center"/>
          </w:tcPr>
          <w:p>
            <w:r>
              <w:rPr>
                <w:b/>
                <w:bCs/>
                <w:color w:val="FFFFFF"/>
                <w:sz w:val="20"/>
                <w:szCs w:val="20"/>
              </w:rPr>
              <w:t xml:space="preserve">File</w:t>
            </w:r>
          </w:p>
        </w:tc>
        <w:tc>
          <w:tcPr>
            <w:tcW w:type="dxa" w:w="1200"/>
            <w:shd w:fill="1F4E79" w:color="auto" w:val="clear"/>
            <w:tcMar>
              <w:top w:type="dxa" w:w="80"/>
              <w:left w:type="dxa" w:w="120"/>
              <w:bottom w:type="dxa" w:w="80"/>
              <w:right w:type="dxa" w:w="120"/>
            </w:tcMar>
            <w:vAlign w:val="center"/>
          </w:tcPr>
          <w:p>
            <w:r>
              <w:rPr>
                <w:b/>
                <w:bCs/>
                <w:color w:val="FFFFFF"/>
                <w:sz w:val="20"/>
                <w:szCs w:val="20"/>
              </w:rPr>
              <w:t xml:space="preserve">Section</w:t>
            </w:r>
          </w:p>
        </w:tc>
        <w:tc>
          <w:tcPr>
            <w:tcW w:type="dxa" w:w="5150"/>
            <w:shd w:fill="1F4E79" w:color="auto" w:val="clear"/>
            <w:tcMar>
              <w:top w:type="dxa" w:w="80"/>
              <w:left w:type="dxa" w:w="120"/>
              <w:bottom w:type="dxa" w:w="80"/>
              <w:right w:type="dxa" w:w="120"/>
            </w:tcMar>
            <w:vAlign w:val="center"/>
          </w:tcPr>
          <w:p>
            <w:r>
              <w:rPr>
                <w:b/>
                <w:bCs/>
                <w:color w:val="FFFFFF"/>
                <w:sz w:val="20"/>
                <w:szCs w:val="20"/>
              </w:rPr>
              <w:t xml:space="preserve">Link</w:t>
            </w:r>
          </w:p>
        </w:tc>
      </w:tr>
      <w:tr>
        <w:trPr>
          <w:cantSplit/>
        </w:trPr>
        <w:tc>
          <w:tcPr>
            <w:tcW w:type="dxa" w:w="3000"/>
            <w:shd w:fill="FFFFFF" w:color="auto" w:val="clear"/>
            <w:tcMar>
              <w:top w:type="dxa" w:w="80"/>
              <w:left w:type="dxa" w:w="120"/>
              <w:bottom w:type="dxa" w:w="80"/>
              <w:right w:type="dxa" w:w="120"/>
            </w:tcMar>
            <w:vAlign w:val="center"/>
          </w:tcPr>
          <w:p>
            <w:r>
              <w:rPr>
                <w:b w:val="false"/>
                <w:bCs w:val="false"/>
                <w:color w:val="000000"/>
                <w:sz w:val="20"/>
                <w:szCs w:val="20"/>
              </w:rPr>
              <w:t xml:space="preserve">usb_data_pkt_header_parser.py</w:t>
            </w:r>
          </w:p>
        </w:tc>
        <w:tc>
          <w:tcPr>
            <w:tcW w:type="dxa" w:w="1200"/>
            <w:shd w:fill="FFFFFF" w:color="auto" w:val="clear"/>
            <w:tcMar>
              <w:top w:type="dxa" w:w="80"/>
              <w:left w:type="dxa" w:w="120"/>
              <w:bottom w:type="dxa" w:w="80"/>
              <w:right w:type="dxa" w:w="120"/>
            </w:tcMar>
            <w:vAlign w:val="center"/>
          </w:tcPr>
          <w:p>
            <w:r>
              <w:rPr>
                <w:b w:val="false"/>
                <w:bCs w:val="false"/>
                <w:color w:val="000000"/>
                <w:sz w:val="20"/>
                <w:szCs w:val="20"/>
              </w:rPr>
              <w:t xml:space="preserve">13.1</w:t>
            </w:r>
          </w:p>
        </w:tc>
        <w:tc>
          <w:tcPr>
            <w:tcW w:type="dxa" w:w="5150"/>
            <w:shd w:fill="FFFFFF" w:color="auto" w:val="clear"/>
            <w:tcMar>
              <w:top w:type="dxa" w:w="80"/>
              <w:left w:type="dxa" w:w="120"/>
              <w:bottom w:type="dxa" w:w="80"/>
              <w:right w:type="dxa" w:w="120"/>
            </w:tcMar>
            <w:vAlign w:val="center"/>
          </w:tcPr>
          <w:p>
            <w:r>
              <w:rPr>
                <w:b w:val="false"/>
                <w:bCs w:val="false"/>
                <w:color w:val="000000"/>
                <w:sz w:val="20"/>
                <w:szCs w:val="20"/>
              </w:rPr>
              <w:t xml:space="preserve">github.com/Humblefool14/Revision-Verilog/.../usb_data_pkt_header_parser.py</w:t>
            </w:r>
          </w:p>
        </w:tc>
      </w:tr>
      <w:tr>
        <w:trPr>
          <w:cantSplit/>
        </w:trPr>
        <w:tc>
          <w:tcPr>
            <w:tcW w:type="dxa" w:w="3000"/>
            <w:shd w:fill="EAF1F8" w:color="auto" w:val="clear"/>
            <w:tcMar>
              <w:top w:type="dxa" w:w="80"/>
              <w:left w:type="dxa" w:w="120"/>
              <w:bottom w:type="dxa" w:w="80"/>
              <w:right w:type="dxa" w:w="120"/>
            </w:tcMar>
            <w:vAlign w:val="center"/>
          </w:tcPr>
          <w:p>
            <w:r>
              <w:rPr>
                <w:b w:val="false"/>
                <w:bCs w:val="false"/>
                <w:color w:val="000000"/>
                <w:sz w:val="20"/>
                <w:szCs w:val="20"/>
              </w:rPr>
              <w:t xml:space="preserve">usb_link_command_parser.py</w:t>
            </w:r>
          </w:p>
        </w:tc>
        <w:tc>
          <w:tcPr>
            <w:tcW w:type="dxa" w:w="1200"/>
            <w:shd w:fill="EAF1F8" w:color="auto" w:val="clear"/>
            <w:tcMar>
              <w:top w:type="dxa" w:w="80"/>
              <w:left w:type="dxa" w:w="120"/>
              <w:bottom w:type="dxa" w:w="80"/>
              <w:right w:type="dxa" w:w="120"/>
            </w:tcMar>
            <w:vAlign w:val="center"/>
          </w:tcPr>
          <w:p>
            <w:r>
              <w:rPr>
                <w:b w:val="false"/>
                <w:bCs w:val="false"/>
                <w:color w:val="000000"/>
                <w:sz w:val="20"/>
                <w:szCs w:val="20"/>
              </w:rPr>
              <w:t xml:space="preserve">13.2.1</w:t>
            </w:r>
          </w:p>
        </w:tc>
        <w:tc>
          <w:tcPr>
            <w:tcW w:type="dxa" w:w="5150"/>
            <w:shd w:fill="EAF1F8" w:color="auto" w:val="clear"/>
            <w:tcMar>
              <w:top w:type="dxa" w:w="80"/>
              <w:left w:type="dxa" w:w="120"/>
              <w:bottom w:type="dxa" w:w="80"/>
              <w:right w:type="dxa" w:w="120"/>
            </w:tcMar>
            <w:vAlign w:val="center"/>
          </w:tcPr>
          <w:p>
            <w:r>
              <w:rPr>
                <w:b w:val="false"/>
                <w:bCs w:val="false"/>
                <w:color w:val="000000"/>
                <w:sz w:val="20"/>
                <w:szCs w:val="20"/>
              </w:rPr>
              <w:t xml:space="preserve">github.com/Humblefool14/Revision-Verilog/.../usb_link_command_parser.py</w:t>
            </w:r>
          </w:p>
        </w:tc>
      </w:tr>
      <w:tr>
        <w:trPr>
          <w:cantSplit/>
        </w:trPr>
        <w:tc>
          <w:tcPr>
            <w:tcW w:type="dxa" w:w="3000"/>
            <w:shd w:fill="FFFFFF" w:color="auto" w:val="clear"/>
            <w:tcMar>
              <w:top w:type="dxa" w:w="80"/>
              <w:left w:type="dxa" w:w="120"/>
              <w:bottom w:type="dxa" w:w="80"/>
              <w:right w:type="dxa" w:w="120"/>
            </w:tcMar>
            <w:vAlign w:val="center"/>
          </w:tcPr>
          <w:p>
            <w:r>
              <w:rPr>
                <w:b w:val="false"/>
                <w:bCs w:val="false"/>
                <w:color w:val="000000"/>
                <w:sz w:val="20"/>
                <w:szCs w:val="20"/>
              </w:rPr>
              <w:t xml:space="preserve">usb_link_pkt.py</w:t>
            </w:r>
          </w:p>
        </w:tc>
        <w:tc>
          <w:tcPr>
            <w:tcW w:type="dxa" w:w="1200"/>
            <w:shd w:fill="FFFFFF" w:color="auto" w:val="clear"/>
            <w:tcMar>
              <w:top w:type="dxa" w:w="80"/>
              <w:left w:type="dxa" w:w="120"/>
              <w:bottom w:type="dxa" w:w="80"/>
              <w:right w:type="dxa" w:w="120"/>
            </w:tcMar>
            <w:vAlign w:val="center"/>
          </w:tcPr>
          <w:p>
            <w:r>
              <w:rPr>
                <w:b w:val="false"/>
                <w:bCs w:val="false"/>
                <w:color w:val="000000"/>
                <w:sz w:val="20"/>
                <w:szCs w:val="20"/>
              </w:rPr>
              <w:t xml:space="preserve">13.2.2</w:t>
            </w:r>
          </w:p>
        </w:tc>
        <w:tc>
          <w:tcPr>
            <w:tcW w:type="dxa" w:w="5150"/>
            <w:shd w:fill="FFFFFF" w:color="auto" w:val="clear"/>
            <w:tcMar>
              <w:top w:type="dxa" w:w="80"/>
              <w:left w:type="dxa" w:w="120"/>
              <w:bottom w:type="dxa" w:w="80"/>
              <w:right w:type="dxa" w:w="120"/>
            </w:tcMar>
            <w:vAlign w:val="center"/>
          </w:tcPr>
          <w:p>
            <w:r>
              <w:rPr>
                <w:b w:val="false"/>
                <w:bCs w:val="false"/>
                <w:color w:val="000000"/>
                <w:sz w:val="20"/>
                <w:szCs w:val="20"/>
              </w:rPr>
              <w:t xml:space="preserve">github.com/Humblefool14/Revision-Verilog/.../usb_link_pkt.py</w:t>
            </w:r>
          </w:p>
        </w:tc>
      </w:tr>
      <w:tr>
        <w:trPr>
          <w:cantSplit/>
        </w:trPr>
        <w:tc>
          <w:tcPr>
            <w:tcW w:type="dxa" w:w="3000"/>
            <w:shd w:fill="EAF1F8" w:color="auto" w:val="clear"/>
            <w:tcMar>
              <w:top w:type="dxa" w:w="80"/>
              <w:left w:type="dxa" w:w="120"/>
              <w:bottom w:type="dxa" w:w="80"/>
              <w:right w:type="dxa" w:w="120"/>
            </w:tcMar>
            <w:vAlign w:val="center"/>
          </w:tcPr>
          <w:p>
            <w:r>
              <w:rPr>
                <w:b w:val="false"/>
                <w:bCs w:val="false"/>
                <w:color w:val="000000"/>
                <w:sz w:val="20"/>
                <w:szCs w:val="20"/>
              </w:rPr>
              <w:t xml:space="preserve">usb_link_word_parser.py</w:t>
            </w:r>
          </w:p>
        </w:tc>
        <w:tc>
          <w:tcPr>
            <w:tcW w:type="dxa" w:w="1200"/>
            <w:shd w:fill="EAF1F8" w:color="auto" w:val="clear"/>
            <w:tcMar>
              <w:top w:type="dxa" w:w="80"/>
              <w:left w:type="dxa" w:w="120"/>
              <w:bottom w:type="dxa" w:w="80"/>
              <w:right w:type="dxa" w:w="120"/>
            </w:tcMar>
            <w:vAlign w:val="center"/>
          </w:tcPr>
          <w:p>
            <w:r>
              <w:rPr>
                <w:b w:val="false"/>
                <w:bCs w:val="false"/>
                <w:color w:val="000000"/>
                <w:sz w:val="20"/>
                <w:szCs w:val="20"/>
              </w:rPr>
              <w:t xml:space="preserve">13.2.3</w:t>
            </w:r>
          </w:p>
        </w:tc>
        <w:tc>
          <w:tcPr>
            <w:tcW w:type="dxa" w:w="5150"/>
            <w:shd w:fill="EAF1F8" w:color="auto" w:val="clear"/>
            <w:tcMar>
              <w:top w:type="dxa" w:w="80"/>
              <w:left w:type="dxa" w:w="120"/>
              <w:bottom w:type="dxa" w:w="80"/>
              <w:right w:type="dxa" w:w="120"/>
            </w:tcMar>
            <w:vAlign w:val="center"/>
          </w:tcPr>
          <w:p>
            <w:r>
              <w:rPr>
                <w:b w:val="false"/>
                <w:bCs w:val="false"/>
                <w:color w:val="000000"/>
                <w:sz w:val="20"/>
                <w:szCs w:val="20"/>
              </w:rPr>
              <w:t xml:space="preserve">github.com/Humblefool14/Revision-Verilog/.../usb_link_word_parser.py</w:t>
            </w:r>
          </w:p>
        </w:tc>
      </w:tr>
      <w:tr>
        <w:trPr>
          <w:cantSplit/>
        </w:trPr>
        <w:tc>
          <w:tcPr>
            <w:tcW w:type="dxa" w:w="3000"/>
            <w:shd w:fill="FFFFFF" w:color="auto" w:val="clear"/>
            <w:tcMar>
              <w:top w:type="dxa" w:w="80"/>
              <w:left w:type="dxa" w:w="120"/>
              <w:bottom w:type="dxa" w:w="80"/>
              <w:right w:type="dxa" w:w="120"/>
            </w:tcMar>
            <w:vAlign w:val="center"/>
          </w:tcPr>
          <w:p>
            <w:r>
              <w:rPr>
                <w:b w:val="false"/>
                <w:bCs w:val="false"/>
                <w:color w:val="000000"/>
                <w:sz w:val="20"/>
                <w:szCs w:val="20"/>
              </w:rPr>
              <w:t xml:space="preserve">usb_os_pkt_parser.py</w:t>
            </w:r>
          </w:p>
        </w:tc>
        <w:tc>
          <w:tcPr>
            <w:tcW w:type="dxa" w:w="1200"/>
            <w:shd w:fill="FFFFFF" w:color="auto" w:val="clear"/>
            <w:tcMar>
              <w:top w:type="dxa" w:w="80"/>
              <w:left w:type="dxa" w:w="120"/>
              <w:bottom w:type="dxa" w:w="80"/>
              <w:right w:type="dxa" w:w="120"/>
            </w:tcMar>
            <w:vAlign w:val="center"/>
          </w:tcPr>
          <w:p>
            <w:r>
              <w:rPr>
                <w:b w:val="false"/>
                <w:bCs w:val="false"/>
                <w:color w:val="000000"/>
                <w:sz w:val="20"/>
                <w:szCs w:val="20"/>
              </w:rPr>
              <w:t xml:space="preserve">13.3</w:t>
            </w:r>
          </w:p>
        </w:tc>
        <w:tc>
          <w:tcPr>
            <w:tcW w:type="dxa" w:w="5150"/>
            <w:shd w:fill="FFFFFF" w:color="auto" w:val="clear"/>
            <w:tcMar>
              <w:top w:type="dxa" w:w="80"/>
              <w:left w:type="dxa" w:w="120"/>
              <w:bottom w:type="dxa" w:w="80"/>
              <w:right w:type="dxa" w:w="120"/>
            </w:tcMar>
            <w:vAlign w:val="center"/>
          </w:tcPr>
          <w:p>
            <w:r>
              <w:rPr>
                <w:b w:val="false"/>
                <w:bCs w:val="false"/>
                <w:color w:val="000000"/>
                <w:sz w:val="20"/>
                <w:szCs w:val="20"/>
              </w:rPr>
              <w:t xml:space="preserve">github.com/Humblefool14/Revision-Verilog/.../usb_os_pkt_parser.py</w:t>
            </w:r>
          </w:p>
        </w:tc>
      </w:tr>
      <w:tr>
        <w:trPr>
          <w:cantSplit/>
        </w:trPr>
        <w:tc>
          <w:tcPr>
            <w:tcW w:type="dxa" w:w="3000"/>
            <w:shd w:fill="EAF1F8" w:color="auto" w:val="clear"/>
            <w:tcMar>
              <w:top w:type="dxa" w:w="80"/>
              <w:left w:type="dxa" w:w="120"/>
              <w:bottom w:type="dxa" w:w="80"/>
              <w:right w:type="dxa" w:w="120"/>
            </w:tcMar>
            <w:vAlign w:val="center"/>
          </w:tcPr>
          <w:p>
            <w:r>
              <w:rPr>
                <w:b w:val="false"/>
                <w:bCs w:val="false"/>
                <w:color w:val="000000"/>
                <w:sz w:val="20"/>
                <w:szCs w:val="20"/>
              </w:rPr>
              <w:t xml:space="preserve">usb_pkt.py</w:t>
            </w:r>
          </w:p>
        </w:tc>
        <w:tc>
          <w:tcPr>
            <w:tcW w:type="dxa" w:w="1200"/>
            <w:shd w:fill="EAF1F8" w:color="auto" w:val="clear"/>
            <w:tcMar>
              <w:top w:type="dxa" w:w="80"/>
              <w:left w:type="dxa" w:w="120"/>
              <w:bottom w:type="dxa" w:w="80"/>
              <w:right w:type="dxa" w:w="120"/>
            </w:tcMar>
            <w:vAlign w:val="center"/>
          </w:tcPr>
          <w:p>
            <w:r>
              <w:rPr>
                <w:b w:val="false"/>
                <w:bCs w:val="false"/>
                <w:color w:val="000000"/>
                <w:sz w:val="20"/>
                <w:szCs w:val="20"/>
              </w:rPr>
              <w:t xml:space="preserve">13.4</w:t>
            </w:r>
          </w:p>
        </w:tc>
        <w:tc>
          <w:tcPr>
            <w:tcW w:type="dxa" w:w="5150"/>
            <w:shd w:fill="EAF1F8" w:color="auto" w:val="clear"/>
            <w:tcMar>
              <w:top w:type="dxa" w:w="80"/>
              <w:left w:type="dxa" w:w="120"/>
              <w:bottom w:type="dxa" w:w="80"/>
              <w:right w:type="dxa" w:w="120"/>
            </w:tcMar>
            <w:vAlign w:val="center"/>
          </w:tcPr>
          <w:p>
            <w:r>
              <w:rPr>
                <w:b w:val="false"/>
                <w:bCs w:val="false"/>
                <w:color w:val="000000"/>
                <w:sz w:val="20"/>
                <w:szCs w:val="20"/>
              </w:rPr>
              <w:t xml:space="preserve">github.com/Humblefool14/Revision-Verilog/.../usb_pkt.py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USB SuperSpeed Protocol — Verification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400"/>
    </w:pPr>
    <w:rPr>
      <w:rFonts w:ascii="Calibri" w:cs="Calibri" w:eastAsia="Calibri" w:hAnsi="Calibri"/>
      <w:b/>
      <w:bCs/>
      <w:color w:val="1F4E79"/>
      <w:sz w:val="34"/>
      <w:szCs w:val="34"/>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2026-09-17T11:49:11.755Z</dcterms:created>
  <dcterms:modified xsi:type="dcterms:W3CDTF">2026-09-17T11:49:11.755Z</dcterms:modified>
</cp:coreProperties>
</file>

<file path=docProps/custom.xml><?xml version="1.0" encoding="utf-8"?>
<Properties xmlns="http://schemas.openxmlformats.org/officeDocument/2006/custom-properties" xmlns:vt="http://schemas.openxmlformats.org/officeDocument/2006/docPropsVTypes"/>
</file>